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ABD9B" w14:textId="77777777" w:rsidR="007460CE" w:rsidRDefault="007460CE">
      <w:pPr>
        <w:spacing w:line="3" w:lineRule="exact"/>
        <w:rPr>
          <w:sz w:val="24"/>
          <w:szCs w:val="24"/>
        </w:rPr>
      </w:pPr>
      <w:bookmarkStart w:id="0" w:name="page1"/>
      <w:bookmarkEnd w:id="0"/>
    </w:p>
    <w:p w14:paraId="2E089DD4" w14:textId="77777777" w:rsidR="007460CE" w:rsidRDefault="00775352">
      <w:pPr>
        <w:spacing w:line="259" w:lineRule="auto"/>
        <w:ind w:right="138"/>
        <w:jc w:val="both"/>
        <w:rPr>
          <w:sz w:val="20"/>
          <w:szCs w:val="20"/>
        </w:rPr>
      </w:pPr>
      <w:r>
        <w:rPr>
          <w:rFonts w:ascii="Arial" w:eastAsia="Arial" w:hAnsi="Arial" w:cs="Arial"/>
        </w:rPr>
        <w:t>NHS England only commissions the high cost phosphate binders sevelamer, lanthanum and sucroferric oxyhydroxide for dialysis patients and so these agents are not usually prescribed in pre-dialysis patients</w:t>
      </w:r>
    </w:p>
    <w:p w14:paraId="1B9BA28A" w14:textId="77777777" w:rsidR="007460CE" w:rsidRDefault="007460CE">
      <w:pPr>
        <w:spacing w:line="245" w:lineRule="exact"/>
        <w:rPr>
          <w:sz w:val="24"/>
          <w:szCs w:val="24"/>
        </w:rPr>
      </w:pPr>
    </w:p>
    <w:p w14:paraId="3CB7376A" w14:textId="77777777" w:rsidR="007460CE" w:rsidRDefault="00775352">
      <w:pPr>
        <w:spacing w:line="239" w:lineRule="auto"/>
        <w:ind w:right="138"/>
        <w:jc w:val="both"/>
        <w:rPr>
          <w:sz w:val="20"/>
          <w:szCs w:val="20"/>
        </w:rPr>
      </w:pPr>
      <w:r>
        <w:rPr>
          <w:rFonts w:ascii="Arial" w:eastAsia="Arial" w:hAnsi="Arial" w:cs="Arial"/>
          <w:b/>
          <w:bCs/>
          <w:sz w:val="24"/>
          <w:szCs w:val="24"/>
        </w:rPr>
        <w:t>Sodium bicarbonate for the management of metabolic acidosis</w:t>
      </w:r>
    </w:p>
    <w:p w14:paraId="5BD5A896" w14:textId="77777777" w:rsidR="007460CE" w:rsidRDefault="00775352">
      <w:pPr>
        <w:spacing w:line="256" w:lineRule="auto"/>
        <w:ind w:right="138"/>
        <w:jc w:val="both"/>
        <w:rPr>
          <w:sz w:val="20"/>
          <w:szCs w:val="20"/>
        </w:rPr>
      </w:pPr>
      <w:r>
        <w:rPr>
          <w:rFonts w:ascii="Arial" w:eastAsia="Arial" w:hAnsi="Arial" w:cs="Arial"/>
        </w:rPr>
        <w:t>Patients with a GFR less than 30mL/min and serum bicarbonate &lt;20mmol/L should be offered sodium bicarbonate to correct metabolic acidosis associated with CKD. Sodium bicarbonate is usually stopped as soon as renal replacement therapy starts. Higher doses can exacerbate oedema because of sodium content.</w:t>
      </w:r>
    </w:p>
    <w:p w14:paraId="2EB15C7C" w14:textId="77777777" w:rsidR="007460CE" w:rsidRDefault="007460CE">
      <w:pPr>
        <w:spacing w:line="258" w:lineRule="exact"/>
        <w:rPr>
          <w:sz w:val="24"/>
          <w:szCs w:val="24"/>
        </w:rPr>
      </w:pPr>
    </w:p>
    <w:p w14:paraId="6535BA4A" w14:textId="77777777" w:rsidR="007460CE" w:rsidRDefault="00775352">
      <w:pPr>
        <w:rPr>
          <w:sz w:val="20"/>
          <w:szCs w:val="20"/>
        </w:rPr>
      </w:pPr>
      <w:r>
        <w:rPr>
          <w:rFonts w:ascii="Arial" w:eastAsia="Arial" w:hAnsi="Arial" w:cs="Arial"/>
          <w:b/>
          <w:bCs/>
          <w:color w:val="189138"/>
          <w:sz w:val="30"/>
          <w:szCs w:val="30"/>
        </w:rPr>
        <w:t>Symptom Control in CKD</w:t>
      </w:r>
    </w:p>
    <w:p w14:paraId="5938A064" w14:textId="77777777" w:rsidR="007460CE" w:rsidRDefault="007460CE">
      <w:pPr>
        <w:spacing w:line="257" w:lineRule="exact"/>
        <w:rPr>
          <w:sz w:val="24"/>
          <w:szCs w:val="24"/>
        </w:rPr>
      </w:pPr>
    </w:p>
    <w:p w14:paraId="6C6E11AA" w14:textId="77777777" w:rsidR="007460CE" w:rsidRDefault="00775352">
      <w:pPr>
        <w:rPr>
          <w:sz w:val="20"/>
          <w:szCs w:val="20"/>
        </w:rPr>
      </w:pPr>
      <w:r>
        <w:rPr>
          <w:rFonts w:ascii="Arial" w:eastAsia="Arial" w:hAnsi="Arial" w:cs="Arial"/>
          <w:b/>
          <w:bCs/>
          <w:sz w:val="24"/>
          <w:szCs w:val="24"/>
        </w:rPr>
        <w:t>Oedema</w:t>
      </w:r>
    </w:p>
    <w:p w14:paraId="55A891D4" w14:textId="77777777" w:rsidR="007460CE" w:rsidRDefault="00775352">
      <w:pPr>
        <w:spacing w:line="268" w:lineRule="auto"/>
        <w:ind w:right="138"/>
        <w:jc w:val="both"/>
        <w:rPr>
          <w:sz w:val="20"/>
          <w:szCs w:val="20"/>
        </w:rPr>
      </w:pPr>
      <w:r>
        <w:rPr>
          <w:rFonts w:ascii="Arial" w:eastAsia="Arial" w:hAnsi="Arial" w:cs="Arial"/>
          <w:sz w:val="21"/>
          <w:szCs w:val="21"/>
        </w:rPr>
        <w:t>A loss of functioning nephrons can lead to a fall in urine output. In addition to restricting fluid and salt intake, diuretics can be prescribed to manage symptoms. Patients may require high doses, e.g. furosemide 250mg od or bd. If additional diuresis is required, metolazone may be added for its synergistic effect with loop diuretics. Metolazone is not licensed in the UK and so some clinicians may prefer high dose bendroflumethiazide.</w:t>
      </w:r>
    </w:p>
    <w:p w14:paraId="3EEF6196" w14:textId="77777777" w:rsidR="007460CE" w:rsidRDefault="007460CE">
      <w:pPr>
        <w:spacing w:line="239" w:lineRule="exact"/>
        <w:rPr>
          <w:sz w:val="24"/>
          <w:szCs w:val="24"/>
        </w:rPr>
      </w:pPr>
    </w:p>
    <w:p w14:paraId="007F7CBB" w14:textId="77777777" w:rsidR="007460CE" w:rsidRDefault="00775352">
      <w:pPr>
        <w:spacing w:line="239" w:lineRule="auto"/>
        <w:ind w:right="138"/>
        <w:jc w:val="both"/>
        <w:rPr>
          <w:sz w:val="20"/>
          <w:szCs w:val="20"/>
        </w:rPr>
      </w:pPr>
      <w:r>
        <w:rPr>
          <w:rFonts w:ascii="Arial" w:eastAsia="Arial" w:hAnsi="Arial" w:cs="Arial"/>
          <w:b/>
          <w:bCs/>
          <w:sz w:val="24"/>
          <w:szCs w:val="24"/>
        </w:rPr>
        <w:t>Uraemia can cause Itching, muscle cramps and restless legs</w:t>
      </w:r>
    </w:p>
    <w:p w14:paraId="35E0BF1E" w14:textId="351BBF35" w:rsidR="007460CE" w:rsidRDefault="00775352">
      <w:pPr>
        <w:spacing w:line="255" w:lineRule="auto"/>
        <w:ind w:right="138"/>
        <w:jc w:val="both"/>
        <w:rPr>
          <w:sz w:val="20"/>
          <w:szCs w:val="20"/>
        </w:rPr>
      </w:pPr>
      <w:r>
        <w:rPr>
          <w:rFonts w:ascii="Arial" w:eastAsia="Arial" w:hAnsi="Arial" w:cs="Arial"/>
        </w:rPr>
        <w:t>Emollients, menthol in aqueous cream and antihistamines are frequently prescribed to relieve itching. Gabapentin, ranitidine and UVB light are alternative treatments for itching. Quinine is often prescribed to relieve cramps and patients find clonazepam 500 micrograms, pramipexole 180 micrograms or co-beneldopa 62.5mg at night useful for restless legs.</w:t>
      </w:r>
    </w:p>
    <w:p w14:paraId="0A10A9AF" w14:textId="77777777" w:rsidR="007460CE" w:rsidRDefault="00775352">
      <w:pPr>
        <w:spacing w:line="20" w:lineRule="exact"/>
        <w:rPr>
          <w:sz w:val="24"/>
          <w:szCs w:val="24"/>
        </w:rPr>
      </w:pPr>
      <w:r>
        <w:rPr>
          <w:sz w:val="24"/>
          <w:szCs w:val="24"/>
        </w:rPr>
        <w:br w:type="column"/>
      </w:r>
    </w:p>
    <w:p w14:paraId="3C4A5DF7" w14:textId="77777777" w:rsidR="007460CE" w:rsidRDefault="00775352">
      <w:pPr>
        <w:ind w:left="2"/>
        <w:rPr>
          <w:sz w:val="20"/>
          <w:szCs w:val="20"/>
        </w:rPr>
      </w:pPr>
      <w:r>
        <w:rPr>
          <w:rFonts w:ascii="Arial" w:eastAsia="Arial" w:hAnsi="Arial" w:cs="Arial"/>
          <w:b/>
          <w:bCs/>
          <w:i/>
          <w:iCs/>
          <w:color w:val="189138"/>
          <w:sz w:val="30"/>
          <w:szCs w:val="30"/>
        </w:rPr>
        <w:t>Further reading:</w:t>
      </w:r>
    </w:p>
    <w:p w14:paraId="013156B3" w14:textId="0FDA4742" w:rsidR="007460CE" w:rsidRDefault="00775352">
      <w:pPr>
        <w:numPr>
          <w:ilvl w:val="0"/>
          <w:numId w:val="1"/>
        </w:numPr>
        <w:tabs>
          <w:tab w:val="left" w:pos="522"/>
        </w:tabs>
        <w:spacing w:line="256" w:lineRule="auto"/>
        <w:ind w:left="522" w:right="1540" w:hanging="522"/>
        <w:rPr>
          <w:rFonts w:ascii="Arial" w:eastAsia="Arial" w:hAnsi="Arial" w:cs="Arial"/>
          <w:sz w:val="21"/>
          <w:szCs w:val="21"/>
        </w:rPr>
      </w:pPr>
      <w:proofErr w:type="spellStart"/>
      <w:r>
        <w:rPr>
          <w:rFonts w:ascii="Arial" w:eastAsia="Arial" w:hAnsi="Arial" w:cs="Arial"/>
          <w:i/>
          <w:iCs/>
          <w:sz w:val="21"/>
          <w:szCs w:val="21"/>
        </w:rPr>
        <w:t>Etelcalcetide</w:t>
      </w:r>
      <w:proofErr w:type="spellEnd"/>
      <w:r>
        <w:rPr>
          <w:rFonts w:ascii="Arial" w:eastAsia="Arial" w:hAnsi="Arial" w:cs="Arial"/>
          <w:i/>
          <w:iCs/>
          <w:sz w:val="21"/>
          <w:szCs w:val="21"/>
        </w:rPr>
        <w:t xml:space="preserve"> for treating secondary hyperparathyroidism Published by NICE 2017</w:t>
      </w:r>
    </w:p>
    <w:p w14:paraId="5CD7CE18" w14:textId="77777777" w:rsidR="007460CE" w:rsidRDefault="007460CE">
      <w:pPr>
        <w:spacing w:line="19" w:lineRule="exact"/>
        <w:rPr>
          <w:rFonts w:ascii="Arial" w:eastAsia="Arial" w:hAnsi="Arial" w:cs="Arial"/>
          <w:sz w:val="21"/>
          <w:szCs w:val="21"/>
        </w:rPr>
      </w:pPr>
    </w:p>
    <w:p w14:paraId="5E0A49FB" w14:textId="77777777" w:rsidR="007460CE" w:rsidRDefault="00775352">
      <w:pPr>
        <w:numPr>
          <w:ilvl w:val="0"/>
          <w:numId w:val="1"/>
        </w:numPr>
        <w:tabs>
          <w:tab w:val="left" w:pos="522"/>
        </w:tabs>
        <w:spacing w:line="253" w:lineRule="auto"/>
        <w:ind w:left="522" w:right="980" w:hanging="522"/>
        <w:rPr>
          <w:rFonts w:ascii="Arial" w:eastAsia="Arial" w:hAnsi="Arial" w:cs="Arial"/>
          <w:sz w:val="21"/>
          <w:szCs w:val="21"/>
        </w:rPr>
      </w:pPr>
      <w:r>
        <w:rPr>
          <w:rFonts w:ascii="Arial" w:eastAsia="Arial" w:hAnsi="Arial" w:cs="Arial"/>
          <w:i/>
          <w:iCs/>
          <w:sz w:val="21"/>
          <w:szCs w:val="21"/>
        </w:rPr>
        <w:t>Anaemia of chronic kidney disease Published by Renal Association 2017</w:t>
      </w:r>
    </w:p>
    <w:p w14:paraId="4BC510A1" w14:textId="77777777" w:rsidR="007460CE" w:rsidRDefault="007460CE">
      <w:pPr>
        <w:spacing w:line="18" w:lineRule="exact"/>
        <w:rPr>
          <w:rFonts w:ascii="Arial" w:eastAsia="Arial" w:hAnsi="Arial" w:cs="Arial"/>
          <w:sz w:val="21"/>
          <w:szCs w:val="21"/>
        </w:rPr>
      </w:pPr>
    </w:p>
    <w:p w14:paraId="621BC049" w14:textId="77777777" w:rsidR="007460CE" w:rsidRDefault="00775352">
      <w:pPr>
        <w:numPr>
          <w:ilvl w:val="0"/>
          <w:numId w:val="1"/>
        </w:numPr>
        <w:tabs>
          <w:tab w:val="left" w:pos="522"/>
        </w:tabs>
        <w:spacing w:line="253" w:lineRule="auto"/>
        <w:ind w:left="522" w:right="980" w:hanging="522"/>
        <w:rPr>
          <w:rFonts w:ascii="Arial" w:eastAsia="Arial" w:hAnsi="Arial" w:cs="Arial"/>
          <w:sz w:val="21"/>
          <w:szCs w:val="21"/>
        </w:rPr>
      </w:pPr>
      <w:r>
        <w:rPr>
          <w:rFonts w:ascii="Arial" w:eastAsia="Arial" w:hAnsi="Arial" w:cs="Arial"/>
          <w:i/>
          <w:iCs/>
          <w:sz w:val="21"/>
          <w:szCs w:val="21"/>
        </w:rPr>
        <w:t>CKD-mineral and bone disorders Published by Renal Association 2015</w:t>
      </w:r>
    </w:p>
    <w:p w14:paraId="5DAC9B84" w14:textId="77777777" w:rsidR="007460CE" w:rsidRDefault="007460CE">
      <w:pPr>
        <w:spacing w:line="18" w:lineRule="exact"/>
        <w:rPr>
          <w:rFonts w:ascii="Arial" w:eastAsia="Arial" w:hAnsi="Arial" w:cs="Arial"/>
          <w:sz w:val="21"/>
          <w:szCs w:val="21"/>
        </w:rPr>
      </w:pPr>
    </w:p>
    <w:p w14:paraId="41D6FF7A" w14:textId="77777777" w:rsidR="007460CE" w:rsidRDefault="00775352">
      <w:pPr>
        <w:numPr>
          <w:ilvl w:val="0"/>
          <w:numId w:val="1"/>
        </w:numPr>
        <w:tabs>
          <w:tab w:val="left" w:pos="522"/>
        </w:tabs>
        <w:spacing w:line="245" w:lineRule="auto"/>
        <w:ind w:left="522" w:right="2200" w:hanging="522"/>
        <w:rPr>
          <w:rFonts w:ascii="Arial" w:eastAsia="Arial" w:hAnsi="Arial" w:cs="Arial"/>
        </w:rPr>
      </w:pPr>
      <w:r>
        <w:rPr>
          <w:rFonts w:ascii="Arial" w:eastAsia="Arial" w:hAnsi="Arial" w:cs="Arial"/>
          <w:i/>
          <w:iCs/>
        </w:rPr>
        <w:t>Chronic kidney disease: managing anaemia Published by NICE 2015</w:t>
      </w:r>
    </w:p>
    <w:p w14:paraId="7013D411" w14:textId="77777777" w:rsidR="007460CE" w:rsidRDefault="007460CE">
      <w:pPr>
        <w:spacing w:line="17" w:lineRule="exact"/>
        <w:rPr>
          <w:rFonts w:ascii="Arial" w:eastAsia="Arial" w:hAnsi="Arial" w:cs="Arial"/>
        </w:rPr>
      </w:pPr>
    </w:p>
    <w:p w14:paraId="43BB8DD5" w14:textId="77777777" w:rsidR="007460CE" w:rsidRDefault="00775352">
      <w:pPr>
        <w:numPr>
          <w:ilvl w:val="0"/>
          <w:numId w:val="1"/>
        </w:numPr>
        <w:tabs>
          <w:tab w:val="left" w:pos="522"/>
        </w:tabs>
        <w:spacing w:line="245" w:lineRule="auto"/>
        <w:ind w:left="522" w:right="1340" w:hanging="522"/>
        <w:rPr>
          <w:rFonts w:ascii="Arial" w:eastAsia="Arial" w:hAnsi="Arial" w:cs="Arial"/>
        </w:rPr>
      </w:pPr>
      <w:r>
        <w:rPr>
          <w:rFonts w:ascii="Arial" w:eastAsia="Arial" w:hAnsi="Arial" w:cs="Arial"/>
          <w:i/>
          <w:iCs/>
        </w:rPr>
        <w:t>Chronic Kidney disease in adults: assessment and management Published by NICE 2014</w:t>
      </w:r>
    </w:p>
    <w:p w14:paraId="0D3CEF63" w14:textId="77777777" w:rsidR="007460CE" w:rsidRDefault="007460CE">
      <w:pPr>
        <w:spacing w:line="17" w:lineRule="exact"/>
        <w:rPr>
          <w:rFonts w:ascii="Arial" w:eastAsia="Arial" w:hAnsi="Arial" w:cs="Arial"/>
        </w:rPr>
      </w:pPr>
    </w:p>
    <w:p w14:paraId="75B8559F" w14:textId="77777777" w:rsidR="007460CE" w:rsidRDefault="00775352">
      <w:pPr>
        <w:numPr>
          <w:ilvl w:val="0"/>
          <w:numId w:val="1"/>
        </w:numPr>
        <w:tabs>
          <w:tab w:val="left" w:pos="522"/>
        </w:tabs>
        <w:spacing w:line="256" w:lineRule="auto"/>
        <w:ind w:left="522" w:right="960" w:hanging="522"/>
        <w:rPr>
          <w:rFonts w:ascii="Arial" w:eastAsia="Arial" w:hAnsi="Arial" w:cs="Arial"/>
          <w:sz w:val="21"/>
          <w:szCs w:val="21"/>
        </w:rPr>
      </w:pPr>
      <w:r>
        <w:rPr>
          <w:rFonts w:ascii="Arial" w:eastAsia="Arial" w:hAnsi="Arial" w:cs="Arial"/>
          <w:i/>
          <w:iCs/>
          <w:sz w:val="21"/>
          <w:szCs w:val="21"/>
        </w:rPr>
        <w:t>Chronic kidney disease (stage 4-5): management of hyperphosphataemia Published by NICE March 2013</w:t>
      </w:r>
    </w:p>
    <w:p w14:paraId="3BB9987E" w14:textId="77777777" w:rsidR="007460CE" w:rsidRDefault="007460CE">
      <w:pPr>
        <w:spacing w:line="19" w:lineRule="exact"/>
        <w:rPr>
          <w:rFonts w:ascii="Arial" w:eastAsia="Arial" w:hAnsi="Arial" w:cs="Arial"/>
          <w:sz w:val="21"/>
          <w:szCs w:val="21"/>
        </w:rPr>
      </w:pPr>
    </w:p>
    <w:p w14:paraId="5A1BEA9F" w14:textId="77777777" w:rsidR="007460CE" w:rsidRDefault="00775352">
      <w:pPr>
        <w:numPr>
          <w:ilvl w:val="0"/>
          <w:numId w:val="1"/>
        </w:numPr>
        <w:tabs>
          <w:tab w:val="left" w:pos="522"/>
        </w:tabs>
        <w:spacing w:line="248" w:lineRule="auto"/>
        <w:ind w:left="522" w:right="580" w:hanging="522"/>
        <w:rPr>
          <w:rFonts w:ascii="Arial" w:eastAsia="Arial" w:hAnsi="Arial" w:cs="Arial"/>
        </w:rPr>
      </w:pPr>
      <w:r>
        <w:rPr>
          <w:rFonts w:ascii="Arial" w:eastAsia="Arial" w:hAnsi="Arial" w:cs="Arial"/>
          <w:i/>
          <w:iCs/>
        </w:rPr>
        <w:t>Cinacalcet for the treatment of secondary hyperparathyroidism in patients with end stage renal disease on maintenance dialysis therapy</w:t>
      </w:r>
    </w:p>
    <w:p w14:paraId="7C04AF39" w14:textId="77777777" w:rsidR="007460CE" w:rsidRDefault="007460CE">
      <w:pPr>
        <w:spacing w:line="4" w:lineRule="exact"/>
        <w:rPr>
          <w:rFonts w:ascii="Arial" w:eastAsia="Arial" w:hAnsi="Arial" w:cs="Arial"/>
        </w:rPr>
      </w:pPr>
    </w:p>
    <w:p w14:paraId="5AC31943" w14:textId="77777777" w:rsidR="007460CE" w:rsidRDefault="00775352">
      <w:pPr>
        <w:ind w:left="522"/>
        <w:rPr>
          <w:rFonts w:ascii="Arial" w:eastAsia="Arial" w:hAnsi="Arial" w:cs="Arial"/>
        </w:rPr>
      </w:pPr>
      <w:r>
        <w:rPr>
          <w:rFonts w:ascii="Arial" w:eastAsia="Arial" w:hAnsi="Arial" w:cs="Arial"/>
          <w:i/>
          <w:iCs/>
        </w:rPr>
        <w:t>Published by NICE 2007</w:t>
      </w:r>
    </w:p>
    <w:p w14:paraId="09AD0D6A" w14:textId="77777777" w:rsidR="007460CE" w:rsidRDefault="007460CE">
      <w:pPr>
        <w:spacing w:line="272" w:lineRule="exact"/>
        <w:rPr>
          <w:sz w:val="24"/>
          <w:szCs w:val="24"/>
        </w:rPr>
      </w:pPr>
    </w:p>
    <w:p w14:paraId="4EE84877" w14:textId="065D3E93" w:rsidR="007460CE" w:rsidRDefault="00775352">
      <w:pPr>
        <w:ind w:left="2"/>
        <w:rPr>
          <w:sz w:val="20"/>
          <w:szCs w:val="20"/>
        </w:rPr>
      </w:pPr>
      <w:r>
        <w:rPr>
          <w:rFonts w:ascii="Arial" w:eastAsia="Arial" w:hAnsi="Arial" w:cs="Arial"/>
          <w:b/>
          <w:bCs/>
          <w:i/>
          <w:iCs/>
        </w:rPr>
        <w:t>International resources:</w:t>
      </w:r>
    </w:p>
    <w:p w14:paraId="4030D678" w14:textId="77777777" w:rsidR="007460CE" w:rsidRDefault="007460CE">
      <w:pPr>
        <w:spacing w:line="20" w:lineRule="exact"/>
        <w:rPr>
          <w:sz w:val="24"/>
          <w:szCs w:val="24"/>
        </w:rPr>
      </w:pPr>
    </w:p>
    <w:p w14:paraId="2CA0A03F" w14:textId="77777777" w:rsidR="007460CE" w:rsidRDefault="00775352">
      <w:pPr>
        <w:numPr>
          <w:ilvl w:val="0"/>
          <w:numId w:val="2"/>
        </w:numPr>
        <w:tabs>
          <w:tab w:val="left" w:pos="522"/>
        </w:tabs>
        <w:spacing w:line="242" w:lineRule="auto"/>
        <w:ind w:left="522" w:right="440" w:hanging="522"/>
        <w:rPr>
          <w:rFonts w:ascii="Arial" w:eastAsia="Arial" w:hAnsi="Arial" w:cs="Arial"/>
        </w:rPr>
      </w:pPr>
      <w:r>
        <w:rPr>
          <w:rFonts w:ascii="Arial" w:eastAsia="Arial" w:hAnsi="Arial" w:cs="Arial"/>
          <w:i/>
          <w:iCs/>
        </w:rPr>
        <w:t>Kidney disease improving global outcomes www.kdigo.org</w:t>
      </w:r>
    </w:p>
    <w:p w14:paraId="293064E2" w14:textId="77777777" w:rsidR="007460CE" w:rsidRDefault="007460CE">
      <w:pPr>
        <w:spacing w:line="17" w:lineRule="exact"/>
        <w:rPr>
          <w:rFonts w:ascii="Arial" w:eastAsia="Arial" w:hAnsi="Arial" w:cs="Arial"/>
        </w:rPr>
      </w:pPr>
    </w:p>
    <w:p w14:paraId="409AFD54" w14:textId="23BC6560" w:rsidR="007460CE" w:rsidRDefault="00775352">
      <w:pPr>
        <w:numPr>
          <w:ilvl w:val="0"/>
          <w:numId w:val="2"/>
        </w:numPr>
        <w:tabs>
          <w:tab w:val="left" w:pos="522"/>
        </w:tabs>
        <w:spacing w:line="242" w:lineRule="auto"/>
        <w:ind w:left="522" w:right="1120" w:hanging="522"/>
        <w:rPr>
          <w:rFonts w:ascii="Arial" w:eastAsia="Arial" w:hAnsi="Arial" w:cs="Arial"/>
        </w:rPr>
      </w:pPr>
      <w:r>
        <w:rPr>
          <w:rFonts w:ascii="Arial" w:eastAsia="Arial" w:hAnsi="Arial" w:cs="Arial"/>
          <w:i/>
          <w:iCs/>
        </w:rPr>
        <w:t>National Kidney Foundation KDOQI www.kidney.org</w:t>
      </w:r>
    </w:p>
    <w:p w14:paraId="14F56772" w14:textId="04937E8B" w:rsidR="007460CE" w:rsidRDefault="007460CE">
      <w:pPr>
        <w:spacing w:line="17" w:lineRule="exact"/>
        <w:rPr>
          <w:rFonts w:ascii="Arial" w:eastAsia="Arial" w:hAnsi="Arial" w:cs="Arial"/>
        </w:rPr>
      </w:pPr>
    </w:p>
    <w:p w14:paraId="258E316B" w14:textId="5ABF85D4" w:rsidR="007460CE" w:rsidRPr="004678BC" w:rsidRDefault="00775352">
      <w:pPr>
        <w:numPr>
          <w:ilvl w:val="0"/>
          <w:numId w:val="2"/>
        </w:numPr>
        <w:tabs>
          <w:tab w:val="left" w:pos="522"/>
        </w:tabs>
        <w:spacing w:line="247" w:lineRule="auto"/>
        <w:ind w:left="522" w:right="1820" w:hanging="522"/>
        <w:rPr>
          <w:rFonts w:ascii="Arial" w:eastAsia="Arial" w:hAnsi="Arial" w:cs="Arial"/>
        </w:rPr>
      </w:pPr>
      <w:r>
        <w:rPr>
          <w:rFonts w:ascii="Arial" w:eastAsia="Arial" w:hAnsi="Arial" w:cs="Arial"/>
          <w:i/>
          <w:iCs/>
        </w:rPr>
        <w:t xml:space="preserve">Caring for Australasians with renal impairment </w:t>
      </w:r>
      <w:hyperlink r:id="rId5" w:history="1">
        <w:r w:rsidR="004678BC" w:rsidRPr="001D5AD3">
          <w:rPr>
            <w:rStyle w:val="Hyperlink"/>
            <w:rFonts w:ascii="Arial" w:eastAsia="Arial" w:hAnsi="Arial" w:cs="Arial"/>
            <w:i/>
            <w:iCs/>
          </w:rPr>
          <w:t>www.cari.or.au</w:t>
        </w:r>
      </w:hyperlink>
    </w:p>
    <w:p w14:paraId="6C42E230" w14:textId="65D0A958" w:rsidR="004678BC" w:rsidRDefault="005F5F16" w:rsidP="004678BC">
      <w:pPr>
        <w:pStyle w:val="ListParagraph"/>
        <w:rPr>
          <w:rFonts w:ascii="Arial" w:eastAsia="Arial" w:hAnsi="Arial" w:cs="Arial"/>
        </w:rPr>
      </w:pPr>
      <w:r>
        <w:rPr>
          <w:noProof/>
          <w:sz w:val="24"/>
          <w:szCs w:val="24"/>
        </w:rPr>
        <mc:AlternateContent>
          <mc:Choice Requires="wps">
            <w:drawing>
              <wp:anchor distT="0" distB="0" distL="114300" distR="114300" simplePos="0" relativeHeight="251684864" behindDoc="1" locked="0" layoutInCell="0" allowOverlap="1" wp14:anchorId="10FD807E" wp14:editId="68372E59">
                <wp:simplePos x="0" y="0"/>
                <wp:positionH relativeFrom="column">
                  <wp:posOffset>-14605</wp:posOffset>
                </wp:positionH>
                <wp:positionV relativeFrom="paragraph">
                  <wp:posOffset>45085</wp:posOffset>
                </wp:positionV>
                <wp:extent cx="9525" cy="1756410"/>
                <wp:effectExtent l="0" t="0" r="28575" b="34290"/>
                <wp:wrapNone/>
                <wp:docPr id="10"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756410"/>
                        </a:xfrm>
                        <a:prstGeom prst="line">
                          <a:avLst/>
                        </a:prstGeom>
                        <a:solidFill>
                          <a:srgbClr val="FFFFFF"/>
                        </a:solidFill>
                        <a:ln w="12700">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67B7524A" id="Shape 3"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3.55pt" to="-.4pt,1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" o:allowincell="f" filled="t" strokeweight="1pt">
                <v:stroke joinstyle="miter"/>
                <o:lock v:ext="edit" shapetype="f"/>
              </v:line>
            </w:pict>
          </mc:Fallback>
        </mc:AlternateContent>
      </w:r>
      <w:r w:rsidR="004678BC">
        <w:rPr>
          <w:noProof/>
          <w:sz w:val="24"/>
          <w:szCs w:val="24"/>
        </w:rPr>
        <mc:AlternateContent>
          <mc:Choice Requires="wps">
            <w:drawing>
              <wp:anchor distT="0" distB="0" distL="114300" distR="114300" simplePos="0" relativeHeight="251644416" behindDoc="1" locked="0" layoutInCell="0" allowOverlap="1" wp14:anchorId="057FEA0D" wp14:editId="4BCCE37C">
                <wp:simplePos x="0" y="0"/>
                <wp:positionH relativeFrom="column">
                  <wp:posOffset>2995295</wp:posOffset>
                </wp:positionH>
                <wp:positionV relativeFrom="paragraph">
                  <wp:posOffset>45085</wp:posOffset>
                </wp:positionV>
                <wp:extent cx="9525" cy="1756410"/>
                <wp:effectExtent l="0" t="0" r="28575" b="3429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756410"/>
                        </a:xfrm>
                        <a:prstGeom prst="line">
                          <a:avLst/>
                        </a:prstGeom>
                        <a:solidFill>
                          <a:srgbClr val="FFFFFF"/>
                        </a:solidFill>
                        <a:ln w="12700">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2BB838C9" id="Shape 3"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85pt,3.55pt" to="236.6pt,1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" o:allowincell="f" filled="t" strokeweight="1pt">
                <v:stroke joinstyle="miter"/>
                <o:lock v:ext="edit" shapetype="f"/>
              </v:line>
            </w:pict>
          </mc:Fallback>
        </mc:AlternateContent>
      </w:r>
      <w:r w:rsidR="004678BC">
        <w:rPr>
          <w:noProof/>
          <w:sz w:val="24"/>
          <w:szCs w:val="24"/>
        </w:rPr>
        <mc:AlternateContent>
          <mc:Choice Requires="wps">
            <w:drawing>
              <wp:anchor distT="0" distB="0" distL="114300" distR="114300" simplePos="0" relativeHeight="251661824" behindDoc="1" locked="0" layoutInCell="0" allowOverlap="1" wp14:anchorId="70923CD9" wp14:editId="750651FF">
                <wp:simplePos x="0" y="0"/>
                <wp:positionH relativeFrom="column">
                  <wp:posOffset>-17145</wp:posOffset>
                </wp:positionH>
                <wp:positionV relativeFrom="paragraph">
                  <wp:posOffset>45085</wp:posOffset>
                </wp:positionV>
                <wp:extent cx="303593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35935" cy="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07A46FCE" id="Shape 4"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1.35pt,3.55pt" to="23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" o:allowincell="f" filled="t" strokeweight="1pt">
                <v:stroke joinstyle="miter"/>
                <o:lock v:ext="edit" shapetype="f"/>
              </v:line>
            </w:pict>
          </mc:Fallback>
        </mc:AlternateContent>
      </w:r>
      <w:r w:rsidR="004678BC">
        <w:rPr>
          <w:noProof/>
          <w:sz w:val="24"/>
          <w:szCs w:val="24"/>
        </w:rPr>
        <mc:AlternateContent>
          <mc:Choice Requires="wps">
            <w:drawing>
              <wp:anchor distT="0" distB="0" distL="114300" distR="114300" simplePos="0" relativeHeight="251629056" behindDoc="1" locked="0" layoutInCell="0" allowOverlap="1" wp14:anchorId="5C7849EC" wp14:editId="0CA4216A">
                <wp:simplePos x="0" y="0"/>
                <wp:positionH relativeFrom="column">
                  <wp:posOffset>-17780</wp:posOffset>
                </wp:positionH>
                <wp:positionV relativeFrom="paragraph">
                  <wp:posOffset>45085</wp:posOffset>
                </wp:positionV>
                <wp:extent cx="3023870" cy="178244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3870" cy="1782445"/>
                        </a:xfrm>
                        <a:prstGeom prst="rect">
                          <a:avLst/>
                        </a:prstGeom>
                        <a:solidFill>
                          <a:srgbClr val="E8F6E3"/>
                        </a:solidFill>
                      </wps:spPr>
                      <wps:bodyPr/>
                    </wps:wsp>
                  </a:graphicData>
                </a:graphic>
              </wp:anchor>
            </w:drawing>
          </mc:Choice>
          <mc:Fallback>
            <w:pict>
              <v:rect w14:anchorId="0857A983" id="Shape 2" o:spid="_x0000_s1026" style="position:absolute;margin-left:-1.4pt;margin-top:3.55pt;width:238.1pt;height:140.35pt;z-index:-251687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" o:allowincell="f" fillcolor="#e8f6e3" stroked="f"/>
            </w:pict>
          </mc:Fallback>
        </mc:AlternateContent>
      </w:r>
    </w:p>
    <w:p w14:paraId="5CEC4CB0" w14:textId="43237970" w:rsidR="004678BC" w:rsidRDefault="004678BC" w:rsidP="004678BC">
      <w:pPr>
        <w:ind w:left="222"/>
        <w:rPr>
          <w:rFonts w:ascii="Arial" w:eastAsia="Arial" w:hAnsi="Arial" w:cs="Arial"/>
          <w:color w:val="FF0000"/>
          <w:sz w:val="24"/>
          <w:szCs w:val="24"/>
        </w:rPr>
      </w:pPr>
      <w:r>
        <w:rPr>
          <w:rFonts w:ascii="Arial" w:eastAsia="Arial" w:hAnsi="Arial" w:cs="Arial"/>
          <w:b/>
          <w:bCs/>
          <w:sz w:val="24"/>
          <w:szCs w:val="24"/>
        </w:rPr>
        <w:t xml:space="preserve">Contact the RPG Secretariat </w:t>
      </w:r>
      <w:proofErr w:type="gramStart"/>
      <w:r>
        <w:rPr>
          <w:rFonts w:ascii="Arial" w:eastAsia="Arial" w:hAnsi="Arial" w:cs="Arial"/>
          <w:b/>
          <w:bCs/>
          <w:sz w:val="24"/>
          <w:szCs w:val="24"/>
        </w:rPr>
        <w:t>at:-</w:t>
      </w:r>
      <w:proofErr w:type="gramEnd"/>
      <w:r w:rsidRPr="00560086">
        <w:rPr>
          <w:rFonts w:ascii="Arial" w:eastAsia="Arial" w:hAnsi="Arial" w:cs="Arial"/>
          <w:color w:val="FF0000"/>
          <w:sz w:val="24"/>
          <w:szCs w:val="24"/>
        </w:rPr>
        <w:t xml:space="preserve"> </w:t>
      </w:r>
    </w:p>
    <w:p w14:paraId="7046E283" w14:textId="7C724CDE" w:rsidR="004678BC" w:rsidRPr="00905AF2" w:rsidRDefault="004678BC" w:rsidP="004678BC">
      <w:pPr>
        <w:ind w:left="222"/>
        <w:rPr>
          <w:color w:val="FF0000"/>
          <w:sz w:val="20"/>
          <w:szCs w:val="20"/>
        </w:rPr>
      </w:pPr>
      <w:r w:rsidRPr="00905AF2">
        <w:rPr>
          <w:rFonts w:ascii="Arial" w:eastAsia="Arial" w:hAnsi="Arial" w:cs="Arial"/>
          <w:color w:val="FF0000"/>
          <w:sz w:val="24"/>
          <w:szCs w:val="24"/>
        </w:rPr>
        <w:t>UK Renal Pharmacy Group</w:t>
      </w:r>
    </w:p>
    <w:p w14:paraId="6A6CAEFA" w14:textId="77777777" w:rsidR="004678BC" w:rsidRPr="00905AF2" w:rsidRDefault="004678BC" w:rsidP="004678BC">
      <w:pPr>
        <w:spacing w:line="12" w:lineRule="exact"/>
        <w:rPr>
          <w:color w:val="FF0000"/>
          <w:sz w:val="24"/>
          <w:szCs w:val="24"/>
        </w:rPr>
      </w:pPr>
    </w:p>
    <w:p w14:paraId="6681A288" w14:textId="77777777" w:rsidR="004678BC" w:rsidRPr="00905AF2" w:rsidRDefault="004678BC" w:rsidP="004678BC">
      <w:pPr>
        <w:ind w:left="222"/>
        <w:rPr>
          <w:color w:val="FF0000"/>
          <w:sz w:val="20"/>
          <w:szCs w:val="20"/>
        </w:rPr>
      </w:pPr>
      <w:r w:rsidRPr="00905AF2">
        <w:rPr>
          <w:rFonts w:ascii="Arial" w:eastAsia="Arial" w:hAnsi="Arial" w:cs="Arial"/>
          <w:color w:val="FF0000"/>
          <w:sz w:val="24"/>
          <w:szCs w:val="24"/>
        </w:rPr>
        <w:t>Renal Association,</w:t>
      </w:r>
    </w:p>
    <w:p w14:paraId="164522F6" w14:textId="77777777" w:rsidR="004678BC" w:rsidRPr="00905AF2" w:rsidRDefault="004678BC" w:rsidP="004678BC">
      <w:pPr>
        <w:spacing w:line="12" w:lineRule="exact"/>
        <w:rPr>
          <w:color w:val="FF0000"/>
          <w:sz w:val="24"/>
          <w:szCs w:val="24"/>
        </w:rPr>
      </w:pPr>
    </w:p>
    <w:p w14:paraId="755AEBE4" w14:textId="7BBB9050" w:rsidR="004678BC" w:rsidRPr="00905AF2" w:rsidRDefault="004678BC" w:rsidP="004678BC">
      <w:pPr>
        <w:ind w:left="222"/>
        <w:rPr>
          <w:color w:val="FF0000"/>
          <w:sz w:val="20"/>
          <w:szCs w:val="20"/>
        </w:rPr>
      </w:pPr>
      <w:r w:rsidRPr="00905AF2">
        <w:rPr>
          <w:rFonts w:ascii="Arial" w:eastAsia="Arial" w:hAnsi="Arial" w:cs="Arial"/>
          <w:color w:val="FF0000"/>
          <w:sz w:val="24"/>
          <w:szCs w:val="24"/>
        </w:rPr>
        <w:t>Brandon House, Building 2001</w:t>
      </w:r>
    </w:p>
    <w:p w14:paraId="3C187055" w14:textId="0466016A" w:rsidR="004678BC" w:rsidRPr="00905AF2" w:rsidRDefault="004678BC" w:rsidP="004678BC">
      <w:pPr>
        <w:spacing w:line="12" w:lineRule="exact"/>
        <w:rPr>
          <w:color w:val="FF0000"/>
          <w:sz w:val="24"/>
          <w:szCs w:val="24"/>
        </w:rPr>
      </w:pPr>
    </w:p>
    <w:p w14:paraId="109A32F1" w14:textId="524659C1" w:rsidR="004678BC" w:rsidRPr="00905AF2" w:rsidRDefault="004678BC" w:rsidP="004678BC">
      <w:pPr>
        <w:ind w:left="222"/>
        <w:rPr>
          <w:color w:val="FF0000"/>
          <w:sz w:val="20"/>
          <w:szCs w:val="20"/>
        </w:rPr>
      </w:pPr>
      <w:r w:rsidRPr="00905AF2">
        <w:rPr>
          <w:rFonts w:ascii="Arial" w:eastAsia="Arial" w:hAnsi="Arial" w:cs="Arial"/>
          <w:color w:val="FF0000"/>
          <w:sz w:val="24"/>
          <w:szCs w:val="24"/>
        </w:rPr>
        <w:t>Southmead, Bristol</w:t>
      </w:r>
    </w:p>
    <w:p w14:paraId="06A0F4A9" w14:textId="77777777" w:rsidR="004678BC" w:rsidRPr="00905AF2" w:rsidRDefault="004678BC" w:rsidP="004678BC">
      <w:pPr>
        <w:spacing w:line="12" w:lineRule="exact"/>
        <w:rPr>
          <w:color w:val="FF0000"/>
          <w:sz w:val="24"/>
          <w:szCs w:val="24"/>
        </w:rPr>
      </w:pPr>
    </w:p>
    <w:p w14:paraId="67D6B835" w14:textId="08A5DF79" w:rsidR="004678BC" w:rsidRPr="00905AF2" w:rsidRDefault="004678BC" w:rsidP="004678BC">
      <w:pPr>
        <w:ind w:left="222"/>
        <w:rPr>
          <w:color w:val="FF0000"/>
          <w:sz w:val="20"/>
          <w:szCs w:val="20"/>
        </w:rPr>
      </w:pPr>
      <w:r w:rsidRPr="00905AF2">
        <w:rPr>
          <w:rFonts w:ascii="Arial" w:eastAsia="Arial" w:hAnsi="Arial" w:cs="Arial"/>
          <w:color w:val="FF0000"/>
          <w:sz w:val="24"/>
          <w:szCs w:val="24"/>
        </w:rPr>
        <w:t>BS34 7RR, UK.</w:t>
      </w:r>
    </w:p>
    <w:p w14:paraId="3365A7AA" w14:textId="77777777" w:rsidR="004678BC" w:rsidRPr="00905AF2" w:rsidRDefault="004678BC" w:rsidP="004678BC">
      <w:pPr>
        <w:spacing w:line="12" w:lineRule="exact"/>
        <w:rPr>
          <w:color w:val="FF0000"/>
          <w:sz w:val="24"/>
          <w:szCs w:val="24"/>
        </w:rPr>
      </w:pPr>
    </w:p>
    <w:p w14:paraId="5DDDF980" w14:textId="5EC01409" w:rsidR="004678BC" w:rsidRPr="00905AF2" w:rsidRDefault="004678BC" w:rsidP="004678BC">
      <w:pPr>
        <w:ind w:left="222"/>
        <w:rPr>
          <w:color w:val="FF0000"/>
          <w:sz w:val="20"/>
          <w:szCs w:val="20"/>
        </w:rPr>
      </w:pPr>
      <w:r w:rsidRPr="00905AF2">
        <w:rPr>
          <w:rFonts w:ascii="Arial" w:eastAsia="Arial" w:hAnsi="Arial" w:cs="Arial"/>
          <w:color w:val="FF0000"/>
          <w:sz w:val="24"/>
          <w:szCs w:val="24"/>
        </w:rPr>
        <w:t>Tel: 01117 4148152.</w:t>
      </w:r>
    </w:p>
    <w:p w14:paraId="27B98E0D" w14:textId="77777777" w:rsidR="004678BC" w:rsidRPr="00905AF2" w:rsidRDefault="004678BC" w:rsidP="004678BC">
      <w:pPr>
        <w:spacing w:line="12" w:lineRule="exact"/>
        <w:rPr>
          <w:color w:val="FF0000"/>
          <w:sz w:val="24"/>
          <w:szCs w:val="24"/>
        </w:rPr>
      </w:pPr>
    </w:p>
    <w:p w14:paraId="148B4771" w14:textId="77105296" w:rsidR="004678BC" w:rsidRDefault="004678BC" w:rsidP="004678BC">
      <w:pPr>
        <w:ind w:left="222"/>
        <w:rPr>
          <w:sz w:val="24"/>
          <w:szCs w:val="24"/>
        </w:rPr>
      </w:pPr>
      <w:r w:rsidRPr="00905AF2">
        <w:rPr>
          <w:rFonts w:ascii="Arial" w:eastAsia="Arial" w:hAnsi="Arial" w:cs="Arial"/>
          <w:color w:val="FF0000"/>
          <w:sz w:val="24"/>
          <w:szCs w:val="24"/>
        </w:rPr>
        <w:t>e-mail: RPG@renal.org</w:t>
      </w:r>
    </w:p>
    <w:p w14:paraId="728FDBA4" w14:textId="551A636C" w:rsidR="004678BC" w:rsidRDefault="004678BC" w:rsidP="004678BC">
      <w:pPr>
        <w:tabs>
          <w:tab w:val="left" w:pos="522"/>
        </w:tabs>
        <w:spacing w:line="247" w:lineRule="auto"/>
        <w:ind w:right="1820"/>
        <w:rPr>
          <w:rFonts w:ascii="Arial" w:eastAsia="Arial" w:hAnsi="Arial" w:cs="Arial"/>
        </w:rPr>
      </w:pPr>
    </w:p>
    <w:p w14:paraId="5B0AA7C4" w14:textId="7822845A" w:rsidR="007460CE" w:rsidRDefault="004678BC">
      <w:pPr>
        <w:spacing w:line="20" w:lineRule="exact"/>
        <w:rPr>
          <w:sz w:val="24"/>
          <w:szCs w:val="24"/>
        </w:rPr>
      </w:pPr>
      <w:r>
        <w:rPr>
          <w:noProof/>
          <w:sz w:val="24"/>
          <w:szCs w:val="24"/>
        </w:rPr>
        <mc:AlternateContent>
          <mc:Choice Requires="wps">
            <w:drawing>
              <wp:anchor distT="0" distB="0" distL="114300" distR="114300" simplePos="0" relativeHeight="251694592" behindDoc="1" locked="0" layoutInCell="0" allowOverlap="1" wp14:anchorId="18952F65" wp14:editId="26ADF30D">
                <wp:simplePos x="0" y="0"/>
                <wp:positionH relativeFrom="column">
                  <wp:posOffset>-7620</wp:posOffset>
                </wp:positionH>
                <wp:positionV relativeFrom="paragraph">
                  <wp:posOffset>47625</wp:posOffset>
                </wp:positionV>
                <wp:extent cx="303593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35935" cy="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6957D59B" id="Shape 6" o:spid="_x0000_s1026" style="position:absolute;z-index:-251621888;visibility:visible;mso-wrap-style:square;mso-wrap-distance-left:9pt;mso-wrap-distance-top:0;mso-wrap-distance-right:9pt;mso-wrap-distance-bottom:0;mso-position-horizontal:absolute;mso-position-horizontal-relative:text;mso-position-vertical:absolute;mso-position-vertical-relative:text" from="-.6pt,3.75pt" to="238.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" o:allowincell="f" filled="t" strokeweight="1pt">
                <v:stroke joinstyle="miter"/>
                <o:lock v:ext="edit" shapetype="f"/>
              </v:line>
            </w:pict>
          </mc:Fallback>
        </mc:AlternateContent>
      </w:r>
      <w:r w:rsidR="00775352">
        <w:rPr>
          <w:sz w:val="24"/>
          <w:szCs w:val="24"/>
        </w:rPr>
        <w:br w:type="column"/>
      </w:r>
    </w:p>
    <w:p w14:paraId="42D2F87F" w14:textId="77777777" w:rsidR="007460CE" w:rsidRDefault="007460CE">
      <w:pPr>
        <w:spacing w:line="365" w:lineRule="exact"/>
        <w:rPr>
          <w:sz w:val="24"/>
          <w:szCs w:val="24"/>
        </w:rPr>
      </w:pPr>
    </w:p>
    <w:p w14:paraId="3294085D" w14:textId="77777777" w:rsidR="007460CE" w:rsidRDefault="00775352" w:rsidP="00560086">
      <w:pPr>
        <w:spacing w:line="244" w:lineRule="auto"/>
        <w:ind w:left="220" w:right="100" w:hanging="138"/>
        <w:jc w:val="center"/>
        <w:rPr>
          <w:sz w:val="20"/>
          <w:szCs w:val="20"/>
        </w:rPr>
      </w:pPr>
      <w:r>
        <w:rPr>
          <w:rFonts w:ascii="Arial" w:eastAsia="Arial" w:hAnsi="Arial" w:cs="Arial"/>
          <w:b/>
          <w:bCs/>
          <w:sz w:val="56"/>
          <w:szCs w:val="56"/>
        </w:rPr>
        <w:t>Chronic Kidney Disease (CKD)</w:t>
      </w:r>
    </w:p>
    <w:p w14:paraId="5C84C2F6" w14:textId="7EAF883E" w:rsidR="007460CE" w:rsidRDefault="00775352" w:rsidP="00560086">
      <w:pPr>
        <w:ind w:right="100"/>
        <w:rPr>
          <w:sz w:val="20"/>
          <w:szCs w:val="20"/>
        </w:rPr>
      </w:pPr>
      <w:r>
        <w:rPr>
          <w:rFonts w:eastAsia="Times New Roman"/>
          <w:b/>
          <w:bCs/>
          <w:i/>
          <w:iCs/>
          <w:color w:val="FFFFFF"/>
          <w:sz w:val="48"/>
          <w:szCs w:val="48"/>
          <w:highlight w:val="white"/>
        </w:rPr>
        <w:t>l</w:t>
      </w:r>
    </w:p>
    <w:p w14:paraId="2F4B7DF4" w14:textId="51D07627" w:rsidR="007460CE" w:rsidRDefault="00560086" w:rsidP="00560086">
      <w:pPr>
        <w:spacing w:line="184" w:lineRule="auto"/>
        <w:ind w:right="100"/>
        <w:jc w:val="center"/>
        <w:rPr>
          <w:sz w:val="20"/>
          <w:szCs w:val="20"/>
        </w:rPr>
      </w:pPr>
      <w:r w:rsidRPr="00962CCF">
        <w:rPr>
          <w:rFonts w:eastAsia="Times New Roman"/>
          <w:b/>
          <w:bCs/>
          <w:i/>
          <w:iCs/>
          <w:noProof/>
          <w:color w:val="FFFFFF"/>
          <w:sz w:val="41"/>
          <w:szCs w:val="41"/>
          <w:highlight w:val="white"/>
        </w:rPr>
        <w:drawing>
          <wp:inline distT="0" distB="0" distL="0" distR="0" wp14:anchorId="3C10DC0B" wp14:editId="6672DE5C">
            <wp:extent cx="1875600" cy="1807200"/>
            <wp:effectExtent l="0" t="0" r="0" b="3175"/>
            <wp:docPr id="8" name="Picture 4">
              <a:extLst xmlns:a="http://schemas.openxmlformats.org/drawingml/2006/main">
                <a:ext uri="{FF2B5EF4-FFF2-40B4-BE49-F238E27FC236}">
                  <a16:creationId xmlns:a16="http://schemas.microsoft.com/office/drawing/2014/main" id="{464DA790-89A7-4632-B4C5-2D9F1C45394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464DA790-89A7-4632-B4C5-2D9F1C453942}"/>
                        </a:ext>
                      </a:extLst>
                    </pic:cNvPr>
                    <pic:cNvPicPr>
                      <a:picLocks noChangeAspect="1"/>
                    </pic:cNvPicPr>
                  </pic:nvPicPr>
                  <pic:blipFill rotWithShape="1">
                    <a:blip r:embed="rId6" cstate="print">
                      <a:extLst>
                        <a:ext uri="{28A0092B-C50C-407E-A947-70E740481C1C}">
                          <a14:useLocalDpi xmlns:a14="http://schemas.microsoft.com/office/drawing/2010/main" val="0"/>
                        </a:ext>
                      </a:extLst>
                    </a:blip>
                    <a:srcRect l="13641" r="11112" b="9611"/>
                    <a:stretch/>
                  </pic:blipFill>
                  <pic:spPr>
                    <a:xfrm>
                      <a:off x="0" y="0"/>
                      <a:ext cx="1875600" cy="1807200"/>
                    </a:xfrm>
                    <a:prstGeom prst="rect">
                      <a:avLst/>
                    </a:prstGeom>
                  </pic:spPr>
                </pic:pic>
              </a:graphicData>
            </a:graphic>
          </wp:inline>
        </w:drawing>
      </w:r>
      <w:r w:rsidR="00775352">
        <w:rPr>
          <w:rFonts w:eastAsia="Times New Roman"/>
          <w:b/>
          <w:bCs/>
          <w:i/>
          <w:iCs/>
          <w:color w:val="FFFFFF"/>
          <w:sz w:val="41"/>
          <w:szCs w:val="41"/>
          <w:highlight w:val="white"/>
        </w:rPr>
        <w:t>Pharmacy</w:t>
      </w:r>
    </w:p>
    <w:p w14:paraId="7E2BC337" w14:textId="5BCCDA40" w:rsidR="007460CE" w:rsidRDefault="007460CE">
      <w:pPr>
        <w:spacing w:line="20" w:lineRule="exact"/>
        <w:rPr>
          <w:sz w:val="24"/>
          <w:szCs w:val="24"/>
        </w:rPr>
      </w:pPr>
    </w:p>
    <w:p w14:paraId="4AE79709" w14:textId="77777777" w:rsidR="004678BC" w:rsidRDefault="004678BC" w:rsidP="004678BC">
      <w:pPr>
        <w:spacing w:line="261" w:lineRule="auto"/>
        <w:jc w:val="both"/>
        <w:rPr>
          <w:sz w:val="20"/>
          <w:szCs w:val="20"/>
        </w:rPr>
      </w:pPr>
      <w:r>
        <w:rPr>
          <w:rFonts w:ascii="Arial" w:eastAsia="Arial" w:hAnsi="Arial" w:cs="Arial"/>
          <w:sz w:val="21"/>
          <w:szCs w:val="21"/>
        </w:rPr>
        <w:t xml:space="preserve">The kidneys have an important role in maintaining health. When the person is healthy, the kidneys maintain the body's internal equilibrium of water and minerals (sodium, potassium, chloride, calcium, phosphorus, </w:t>
      </w:r>
      <w:proofErr w:type="gramStart"/>
      <w:r>
        <w:rPr>
          <w:rFonts w:ascii="Arial" w:eastAsia="Arial" w:hAnsi="Arial" w:cs="Arial"/>
          <w:sz w:val="21"/>
          <w:szCs w:val="21"/>
        </w:rPr>
        <w:t>magnesium</w:t>
      </w:r>
      <w:proofErr w:type="gramEnd"/>
      <w:r>
        <w:rPr>
          <w:rFonts w:ascii="Arial" w:eastAsia="Arial" w:hAnsi="Arial" w:cs="Arial"/>
          <w:sz w:val="21"/>
          <w:szCs w:val="21"/>
        </w:rPr>
        <w:t xml:space="preserve"> and sulphate). The acidic metabolism end-products that the body cannot get rid of via respiration are also excreted through the kidneys. The kidneys also function as a part of the endocrine system, producing erythropoietin, </w:t>
      </w:r>
      <w:proofErr w:type="gramStart"/>
      <w:r>
        <w:rPr>
          <w:rFonts w:ascii="Arial" w:eastAsia="Arial" w:hAnsi="Arial" w:cs="Arial"/>
          <w:sz w:val="21"/>
          <w:szCs w:val="21"/>
        </w:rPr>
        <w:t>calcitriol</w:t>
      </w:r>
      <w:proofErr w:type="gramEnd"/>
      <w:r>
        <w:rPr>
          <w:rFonts w:ascii="Arial" w:eastAsia="Arial" w:hAnsi="Arial" w:cs="Arial"/>
          <w:sz w:val="21"/>
          <w:szCs w:val="21"/>
        </w:rPr>
        <w:t xml:space="preserve"> and renin. Erythropoietin is involved in the production of red blood cells and calcitriol plays a role in bone formation.</w:t>
      </w:r>
    </w:p>
    <w:p w14:paraId="53DB8F3C" w14:textId="3B472EEA" w:rsidR="007460CE" w:rsidRDefault="007460CE">
      <w:pPr>
        <w:spacing w:line="200" w:lineRule="exact"/>
        <w:rPr>
          <w:sz w:val="24"/>
          <w:szCs w:val="24"/>
        </w:rPr>
      </w:pPr>
    </w:p>
    <w:p w14:paraId="2912CD2F" w14:textId="50068EC9" w:rsidR="007460CE" w:rsidRPr="00560086" w:rsidRDefault="00560086">
      <w:pPr>
        <w:spacing w:line="400" w:lineRule="exact"/>
        <w:rPr>
          <w:sz w:val="260"/>
          <w:szCs w:val="260"/>
        </w:rPr>
      </w:pPr>
      <w:r>
        <w:rPr>
          <w:noProof/>
          <w:sz w:val="24"/>
          <w:szCs w:val="24"/>
        </w:rPr>
        <w:drawing>
          <wp:anchor distT="0" distB="0" distL="114300" distR="114300" simplePos="0" relativeHeight="251698688" behindDoc="1" locked="0" layoutInCell="0" allowOverlap="1" wp14:anchorId="1B4C9FD1" wp14:editId="5BD5D595">
            <wp:simplePos x="0" y="0"/>
            <wp:positionH relativeFrom="column">
              <wp:posOffset>-133985</wp:posOffset>
            </wp:positionH>
            <wp:positionV relativeFrom="paragraph">
              <wp:posOffset>266065</wp:posOffset>
            </wp:positionV>
            <wp:extent cx="3049270" cy="3905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3049270" cy="390525"/>
                    </a:xfrm>
                    <a:prstGeom prst="rect">
                      <a:avLst/>
                    </a:prstGeom>
                    <a:noFill/>
                  </pic:spPr>
                </pic:pic>
              </a:graphicData>
            </a:graphic>
          </wp:anchor>
        </w:drawing>
      </w:r>
    </w:p>
    <w:p w14:paraId="51565C7D" w14:textId="76B11442" w:rsidR="007460CE" w:rsidRDefault="00775352">
      <w:pPr>
        <w:ind w:left="220"/>
        <w:rPr>
          <w:sz w:val="20"/>
          <w:szCs w:val="20"/>
        </w:rPr>
      </w:pPr>
      <w:r>
        <w:rPr>
          <w:rFonts w:ascii="Arial" w:eastAsia="Arial" w:hAnsi="Arial" w:cs="Arial"/>
          <w:b/>
          <w:bCs/>
          <w:sz w:val="30"/>
          <w:szCs w:val="30"/>
        </w:rPr>
        <w:t>www.renalpharmacy.org.uk</w:t>
      </w:r>
    </w:p>
    <w:p w14:paraId="79270E22" w14:textId="77777777" w:rsidR="007460CE" w:rsidRDefault="007460CE">
      <w:pPr>
        <w:sectPr w:rsidR="007460CE">
          <w:pgSz w:w="16840" w:h="11906" w:orient="landscape"/>
          <w:pgMar w:top="360" w:right="638" w:bottom="15" w:left="420" w:header="0" w:footer="0" w:gutter="0"/>
          <w:cols w:num="3" w:space="720" w:equalWidth="0">
            <w:col w:w="4898" w:space="720"/>
            <w:col w:w="5122" w:space="720"/>
            <w:col w:w="4320"/>
          </w:cols>
        </w:sectPr>
      </w:pPr>
    </w:p>
    <w:p w14:paraId="6A562FAD" w14:textId="77777777" w:rsidR="007460CE" w:rsidRDefault="007460CE">
      <w:pPr>
        <w:spacing w:line="2" w:lineRule="exact"/>
        <w:rPr>
          <w:sz w:val="20"/>
          <w:szCs w:val="20"/>
        </w:rPr>
      </w:pPr>
      <w:bookmarkStart w:id="1" w:name="page2"/>
      <w:bookmarkEnd w:id="1"/>
    </w:p>
    <w:p w14:paraId="076FED79" w14:textId="77777777" w:rsidR="007460CE" w:rsidRDefault="00775352">
      <w:pPr>
        <w:spacing w:line="259" w:lineRule="auto"/>
        <w:ind w:right="1080"/>
        <w:rPr>
          <w:sz w:val="20"/>
          <w:szCs w:val="20"/>
        </w:rPr>
      </w:pPr>
      <w:r>
        <w:rPr>
          <w:rFonts w:ascii="Arial" w:eastAsia="Arial" w:hAnsi="Arial" w:cs="Arial"/>
          <w:b/>
          <w:bCs/>
          <w:color w:val="189138"/>
          <w:sz w:val="31"/>
          <w:szCs w:val="31"/>
        </w:rPr>
        <w:t>Chronic Kidney Disease Top Tips for Pharmacists</w:t>
      </w:r>
    </w:p>
    <w:p w14:paraId="6BF5E477" w14:textId="77777777" w:rsidR="007460CE" w:rsidRDefault="007460CE">
      <w:pPr>
        <w:spacing w:line="243" w:lineRule="exact"/>
        <w:rPr>
          <w:sz w:val="20"/>
          <w:szCs w:val="20"/>
        </w:rPr>
      </w:pPr>
    </w:p>
    <w:p w14:paraId="534A9B32" w14:textId="77777777" w:rsidR="007460CE" w:rsidRDefault="00775352">
      <w:pPr>
        <w:rPr>
          <w:sz w:val="20"/>
          <w:szCs w:val="20"/>
        </w:rPr>
      </w:pPr>
      <w:r>
        <w:rPr>
          <w:rFonts w:ascii="Arial" w:eastAsia="Arial" w:hAnsi="Arial" w:cs="Arial"/>
          <w:b/>
          <w:bCs/>
          <w:color w:val="189138"/>
          <w:sz w:val="28"/>
          <w:szCs w:val="28"/>
        </w:rPr>
        <w:t>Background</w:t>
      </w:r>
    </w:p>
    <w:p w14:paraId="7030B1A4" w14:textId="77777777" w:rsidR="007460CE" w:rsidRDefault="007460CE">
      <w:pPr>
        <w:spacing w:line="249" w:lineRule="exact"/>
        <w:rPr>
          <w:sz w:val="20"/>
          <w:szCs w:val="20"/>
        </w:rPr>
      </w:pPr>
    </w:p>
    <w:p w14:paraId="171BD0AC" w14:textId="77777777" w:rsidR="007460CE" w:rsidRDefault="00775352">
      <w:pPr>
        <w:spacing w:line="250" w:lineRule="auto"/>
        <w:ind w:right="280"/>
        <w:rPr>
          <w:sz w:val="20"/>
          <w:szCs w:val="20"/>
        </w:rPr>
      </w:pPr>
      <w:r>
        <w:rPr>
          <w:rFonts w:ascii="Arial" w:eastAsia="Arial" w:hAnsi="Arial" w:cs="Arial"/>
        </w:rPr>
        <w:t xml:space="preserve">This leaflet aims to provide an overview of CKD and pre-dialysis for pharmacists. There is no pharmacological cure for CKD, so the key aims of CKD management </w:t>
      </w:r>
      <w:proofErr w:type="gramStart"/>
      <w:r>
        <w:rPr>
          <w:rFonts w:ascii="Arial" w:eastAsia="Arial" w:hAnsi="Arial" w:cs="Arial"/>
        </w:rPr>
        <w:t>are:-</w:t>
      </w:r>
      <w:proofErr w:type="gramEnd"/>
    </w:p>
    <w:p w14:paraId="21212623" w14:textId="77777777" w:rsidR="007460CE" w:rsidRDefault="007460CE">
      <w:pPr>
        <w:spacing w:line="2" w:lineRule="exact"/>
        <w:rPr>
          <w:sz w:val="20"/>
          <w:szCs w:val="20"/>
        </w:rPr>
      </w:pPr>
    </w:p>
    <w:p w14:paraId="0FC0C36A" w14:textId="77777777" w:rsidR="007460CE" w:rsidRDefault="00775352">
      <w:pPr>
        <w:numPr>
          <w:ilvl w:val="0"/>
          <w:numId w:val="3"/>
        </w:numPr>
        <w:tabs>
          <w:tab w:val="left" w:pos="1240"/>
        </w:tabs>
        <w:ind w:left="1240" w:hanging="495"/>
        <w:rPr>
          <w:rFonts w:ascii="Arial" w:eastAsia="Arial" w:hAnsi="Arial" w:cs="Arial"/>
        </w:rPr>
      </w:pPr>
      <w:r>
        <w:rPr>
          <w:rFonts w:ascii="Arial" w:eastAsia="Arial" w:hAnsi="Arial" w:cs="Arial"/>
        </w:rPr>
        <w:t>Prevent or delay the progression of</w:t>
      </w:r>
    </w:p>
    <w:p w14:paraId="711583E9" w14:textId="77777777" w:rsidR="007460CE" w:rsidRDefault="007460CE">
      <w:pPr>
        <w:spacing w:line="11" w:lineRule="exact"/>
        <w:rPr>
          <w:rFonts w:ascii="Arial" w:eastAsia="Arial" w:hAnsi="Arial" w:cs="Arial"/>
        </w:rPr>
      </w:pPr>
    </w:p>
    <w:p w14:paraId="617269A5" w14:textId="77777777" w:rsidR="007460CE" w:rsidRDefault="00775352">
      <w:pPr>
        <w:ind w:left="1240"/>
        <w:rPr>
          <w:rFonts w:ascii="Arial" w:eastAsia="Arial" w:hAnsi="Arial" w:cs="Arial"/>
        </w:rPr>
      </w:pPr>
      <w:r>
        <w:rPr>
          <w:rFonts w:ascii="Arial" w:eastAsia="Arial" w:hAnsi="Arial" w:cs="Arial"/>
        </w:rPr>
        <w:t>CKD</w:t>
      </w:r>
    </w:p>
    <w:p w14:paraId="7D4BBD46" w14:textId="77777777" w:rsidR="007460CE" w:rsidRDefault="007460CE">
      <w:pPr>
        <w:spacing w:line="11" w:lineRule="exact"/>
        <w:rPr>
          <w:rFonts w:ascii="Arial" w:eastAsia="Arial" w:hAnsi="Arial" w:cs="Arial"/>
        </w:rPr>
      </w:pPr>
    </w:p>
    <w:p w14:paraId="5DA91A91" w14:textId="77777777" w:rsidR="007460CE" w:rsidRDefault="00775352">
      <w:pPr>
        <w:numPr>
          <w:ilvl w:val="0"/>
          <w:numId w:val="3"/>
        </w:numPr>
        <w:tabs>
          <w:tab w:val="left" w:pos="1240"/>
        </w:tabs>
        <w:ind w:left="1240" w:hanging="495"/>
        <w:rPr>
          <w:rFonts w:ascii="Arial" w:eastAsia="Arial" w:hAnsi="Arial" w:cs="Arial"/>
        </w:rPr>
      </w:pPr>
      <w:r>
        <w:rPr>
          <w:rFonts w:ascii="Arial" w:eastAsia="Arial" w:hAnsi="Arial" w:cs="Arial"/>
        </w:rPr>
        <w:t>Prevent and manage complications</w:t>
      </w:r>
    </w:p>
    <w:p w14:paraId="3B6D1B7F" w14:textId="77777777" w:rsidR="007460CE" w:rsidRDefault="007460CE">
      <w:pPr>
        <w:spacing w:line="11" w:lineRule="exact"/>
        <w:rPr>
          <w:rFonts w:ascii="Arial" w:eastAsia="Arial" w:hAnsi="Arial" w:cs="Arial"/>
        </w:rPr>
      </w:pPr>
    </w:p>
    <w:p w14:paraId="63C4A369" w14:textId="77777777" w:rsidR="007460CE" w:rsidRDefault="00775352">
      <w:pPr>
        <w:numPr>
          <w:ilvl w:val="0"/>
          <w:numId w:val="3"/>
        </w:numPr>
        <w:tabs>
          <w:tab w:val="left" w:pos="1240"/>
        </w:tabs>
        <w:spacing w:line="286" w:lineRule="auto"/>
        <w:ind w:left="1240" w:right="760" w:hanging="494"/>
        <w:rPr>
          <w:rFonts w:ascii="Arial" w:eastAsia="Arial" w:hAnsi="Arial" w:cs="Arial"/>
        </w:rPr>
      </w:pPr>
      <w:r>
        <w:rPr>
          <w:rFonts w:ascii="Arial" w:eastAsia="Arial" w:hAnsi="Arial" w:cs="Arial"/>
        </w:rPr>
        <w:t>Reduce risk of cardiovascular disease</w:t>
      </w:r>
    </w:p>
    <w:p w14:paraId="09BDEFE7" w14:textId="77777777" w:rsidR="007460CE" w:rsidRDefault="007460CE">
      <w:pPr>
        <w:spacing w:line="227" w:lineRule="exact"/>
        <w:rPr>
          <w:sz w:val="20"/>
          <w:szCs w:val="20"/>
        </w:rPr>
      </w:pPr>
    </w:p>
    <w:p w14:paraId="56A934F4" w14:textId="77777777" w:rsidR="007460CE" w:rsidRDefault="00775352">
      <w:pPr>
        <w:spacing w:line="244" w:lineRule="auto"/>
        <w:ind w:right="1140"/>
        <w:rPr>
          <w:sz w:val="20"/>
          <w:szCs w:val="20"/>
        </w:rPr>
      </w:pPr>
      <w:r>
        <w:rPr>
          <w:rFonts w:ascii="Arial" w:eastAsia="Arial" w:hAnsi="Arial" w:cs="Arial"/>
          <w:b/>
          <w:bCs/>
          <w:color w:val="189138"/>
          <w:sz w:val="28"/>
          <w:szCs w:val="28"/>
        </w:rPr>
        <w:t>Identify those at risk of CKD progression</w:t>
      </w:r>
    </w:p>
    <w:p w14:paraId="34614BC9" w14:textId="77777777" w:rsidR="007460CE" w:rsidRDefault="007460CE">
      <w:pPr>
        <w:spacing w:line="246" w:lineRule="exact"/>
        <w:rPr>
          <w:sz w:val="20"/>
          <w:szCs w:val="20"/>
        </w:rPr>
      </w:pPr>
    </w:p>
    <w:p w14:paraId="13A51B04" w14:textId="77777777" w:rsidR="007460CE" w:rsidRDefault="00775352">
      <w:pPr>
        <w:rPr>
          <w:sz w:val="20"/>
          <w:szCs w:val="20"/>
        </w:rPr>
      </w:pPr>
      <w:r>
        <w:rPr>
          <w:rFonts w:ascii="Arial" w:eastAsia="Arial" w:hAnsi="Arial" w:cs="Arial"/>
          <w:sz w:val="23"/>
          <w:szCs w:val="23"/>
        </w:rPr>
        <w:t>Risk factors for CKD progression</w:t>
      </w:r>
    </w:p>
    <w:p w14:paraId="400A1662" w14:textId="77777777" w:rsidR="007460CE" w:rsidRDefault="007460CE">
      <w:pPr>
        <w:spacing w:line="12" w:lineRule="exact"/>
        <w:rPr>
          <w:sz w:val="20"/>
          <w:szCs w:val="20"/>
        </w:rPr>
      </w:pPr>
    </w:p>
    <w:p w14:paraId="5E0994B4" w14:textId="77777777" w:rsidR="007460CE" w:rsidRDefault="00775352">
      <w:pPr>
        <w:numPr>
          <w:ilvl w:val="0"/>
          <w:numId w:val="4"/>
        </w:numPr>
        <w:tabs>
          <w:tab w:val="left" w:pos="1240"/>
        </w:tabs>
        <w:ind w:left="1240" w:hanging="495"/>
        <w:rPr>
          <w:rFonts w:ascii="Arial" w:eastAsia="Arial" w:hAnsi="Arial" w:cs="Arial"/>
          <w:sz w:val="23"/>
          <w:szCs w:val="23"/>
        </w:rPr>
      </w:pPr>
      <w:r>
        <w:rPr>
          <w:rFonts w:ascii="Arial" w:eastAsia="Arial" w:hAnsi="Arial" w:cs="Arial"/>
          <w:sz w:val="23"/>
          <w:szCs w:val="23"/>
        </w:rPr>
        <w:t>Cardiovascular disease</w:t>
      </w:r>
    </w:p>
    <w:p w14:paraId="309A94D5" w14:textId="77777777" w:rsidR="007460CE" w:rsidRDefault="007460CE">
      <w:pPr>
        <w:spacing w:line="11" w:lineRule="exact"/>
        <w:rPr>
          <w:rFonts w:ascii="Arial" w:eastAsia="Arial" w:hAnsi="Arial" w:cs="Arial"/>
          <w:sz w:val="23"/>
          <w:szCs w:val="23"/>
        </w:rPr>
      </w:pPr>
    </w:p>
    <w:p w14:paraId="354C883F" w14:textId="77777777" w:rsidR="007460CE" w:rsidRDefault="00775352">
      <w:pPr>
        <w:numPr>
          <w:ilvl w:val="0"/>
          <w:numId w:val="4"/>
        </w:numPr>
        <w:tabs>
          <w:tab w:val="left" w:pos="1240"/>
        </w:tabs>
        <w:ind w:left="1240" w:hanging="495"/>
        <w:rPr>
          <w:rFonts w:ascii="Arial" w:eastAsia="Arial" w:hAnsi="Arial" w:cs="Arial"/>
          <w:sz w:val="23"/>
          <w:szCs w:val="23"/>
        </w:rPr>
      </w:pPr>
      <w:r>
        <w:rPr>
          <w:rFonts w:ascii="Arial" w:eastAsia="Arial" w:hAnsi="Arial" w:cs="Arial"/>
          <w:sz w:val="23"/>
          <w:szCs w:val="23"/>
        </w:rPr>
        <w:t>Proteinuria</w:t>
      </w:r>
    </w:p>
    <w:p w14:paraId="54139CB2" w14:textId="77777777" w:rsidR="007460CE" w:rsidRDefault="007460CE">
      <w:pPr>
        <w:spacing w:line="11" w:lineRule="exact"/>
        <w:rPr>
          <w:rFonts w:ascii="Arial" w:eastAsia="Arial" w:hAnsi="Arial" w:cs="Arial"/>
          <w:sz w:val="23"/>
          <w:szCs w:val="23"/>
        </w:rPr>
      </w:pPr>
    </w:p>
    <w:p w14:paraId="0F6F4144" w14:textId="77777777" w:rsidR="007460CE" w:rsidRDefault="00775352">
      <w:pPr>
        <w:numPr>
          <w:ilvl w:val="0"/>
          <w:numId w:val="4"/>
        </w:numPr>
        <w:tabs>
          <w:tab w:val="left" w:pos="1240"/>
        </w:tabs>
        <w:ind w:left="1240" w:hanging="495"/>
        <w:rPr>
          <w:rFonts w:ascii="Arial" w:eastAsia="Arial" w:hAnsi="Arial" w:cs="Arial"/>
          <w:sz w:val="23"/>
          <w:szCs w:val="23"/>
        </w:rPr>
      </w:pPr>
      <w:r>
        <w:rPr>
          <w:rFonts w:ascii="Arial" w:eastAsia="Arial" w:hAnsi="Arial" w:cs="Arial"/>
          <w:sz w:val="23"/>
          <w:szCs w:val="23"/>
        </w:rPr>
        <w:t>AKI</w:t>
      </w:r>
    </w:p>
    <w:p w14:paraId="3A27970F" w14:textId="77777777" w:rsidR="007460CE" w:rsidRDefault="007460CE">
      <w:pPr>
        <w:spacing w:line="11" w:lineRule="exact"/>
        <w:rPr>
          <w:rFonts w:ascii="Arial" w:eastAsia="Arial" w:hAnsi="Arial" w:cs="Arial"/>
          <w:sz w:val="23"/>
          <w:szCs w:val="23"/>
        </w:rPr>
      </w:pPr>
    </w:p>
    <w:p w14:paraId="1BDAED9F" w14:textId="77777777" w:rsidR="007460CE" w:rsidRDefault="00775352">
      <w:pPr>
        <w:numPr>
          <w:ilvl w:val="0"/>
          <w:numId w:val="4"/>
        </w:numPr>
        <w:tabs>
          <w:tab w:val="left" w:pos="1240"/>
        </w:tabs>
        <w:ind w:left="1240" w:hanging="495"/>
        <w:rPr>
          <w:rFonts w:ascii="Arial" w:eastAsia="Arial" w:hAnsi="Arial" w:cs="Arial"/>
          <w:sz w:val="23"/>
          <w:szCs w:val="23"/>
        </w:rPr>
      </w:pPr>
      <w:r>
        <w:rPr>
          <w:rFonts w:ascii="Arial" w:eastAsia="Arial" w:hAnsi="Arial" w:cs="Arial"/>
          <w:sz w:val="23"/>
          <w:szCs w:val="23"/>
        </w:rPr>
        <w:t>Hypertension</w:t>
      </w:r>
    </w:p>
    <w:p w14:paraId="38DAB811" w14:textId="77777777" w:rsidR="007460CE" w:rsidRDefault="007460CE">
      <w:pPr>
        <w:spacing w:line="11" w:lineRule="exact"/>
        <w:rPr>
          <w:rFonts w:ascii="Arial" w:eastAsia="Arial" w:hAnsi="Arial" w:cs="Arial"/>
          <w:sz w:val="23"/>
          <w:szCs w:val="23"/>
        </w:rPr>
      </w:pPr>
    </w:p>
    <w:p w14:paraId="39D42CB5" w14:textId="77777777" w:rsidR="007460CE" w:rsidRDefault="00775352">
      <w:pPr>
        <w:numPr>
          <w:ilvl w:val="0"/>
          <w:numId w:val="4"/>
        </w:numPr>
        <w:tabs>
          <w:tab w:val="left" w:pos="1240"/>
        </w:tabs>
        <w:ind w:left="1240" w:hanging="495"/>
        <w:rPr>
          <w:rFonts w:ascii="Arial" w:eastAsia="Arial" w:hAnsi="Arial" w:cs="Arial"/>
          <w:sz w:val="23"/>
          <w:szCs w:val="23"/>
        </w:rPr>
      </w:pPr>
      <w:r>
        <w:rPr>
          <w:rFonts w:ascii="Arial" w:eastAsia="Arial" w:hAnsi="Arial" w:cs="Arial"/>
          <w:sz w:val="23"/>
          <w:szCs w:val="23"/>
        </w:rPr>
        <w:t>Diabetes</w:t>
      </w:r>
    </w:p>
    <w:p w14:paraId="1BC3EF00" w14:textId="77777777" w:rsidR="007460CE" w:rsidRDefault="007460CE">
      <w:pPr>
        <w:spacing w:line="11" w:lineRule="exact"/>
        <w:rPr>
          <w:rFonts w:ascii="Arial" w:eastAsia="Arial" w:hAnsi="Arial" w:cs="Arial"/>
          <w:sz w:val="23"/>
          <w:szCs w:val="23"/>
        </w:rPr>
      </w:pPr>
    </w:p>
    <w:p w14:paraId="46B4A545" w14:textId="77777777" w:rsidR="007460CE" w:rsidRDefault="00775352">
      <w:pPr>
        <w:numPr>
          <w:ilvl w:val="0"/>
          <w:numId w:val="4"/>
        </w:numPr>
        <w:tabs>
          <w:tab w:val="left" w:pos="1240"/>
        </w:tabs>
        <w:ind w:left="1240" w:hanging="495"/>
        <w:rPr>
          <w:rFonts w:ascii="Arial" w:eastAsia="Arial" w:hAnsi="Arial" w:cs="Arial"/>
          <w:sz w:val="23"/>
          <w:szCs w:val="23"/>
        </w:rPr>
      </w:pPr>
      <w:r>
        <w:rPr>
          <w:rFonts w:ascii="Arial" w:eastAsia="Arial" w:hAnsi="Arial" w:cs="Arial"/>
          <w:sz w:val="23"/>
          <w:szCs w:val="23"/>
        </w:rPr>
        <w:t>Smoking</w:t>
      </w:r>
    </w:p>
    <w:p w14:paraId="1B3532D7" w14:textId="77777777" w:rsidR="007460CE" w:rsidRDefault="007460CE">
      <w:pPr>
        <w:spacing w:line="11" w:lineRule="exact"/>
        <w:rPr>
          <w:rFonts w:ascii="Arial" w:eastAsia="Arial" w:hAnsi="Arial" w:cs="Arial"/>
          <w:sz w:val="23"/>
          <w:szCs w:val="23"/>
        </w:rPr>
      </w:pPr>
    </w:p>
    <w:p w14:paraId="62EC35B9" w14:textId="77777777" w:rsidR="007460CE" w:rsidRDefault="00775352">
      <w:pPr>
        <w:numPr>
          <w:ilvl w:val="0"/>
          <w:numId w:val="4"/>
        </w:numPr>
        <w:tabs>
          <w:tab w:val="left" w:pos="1240"/>
        </w:tabs>
        <w:ind w:left="1240" w:hanging="495"/>
        <w:rPr>
          <w:rFonts w:ascii="Arial" w:eastAsia="Arial" w:hAnsi="Arial" w:cs="Arial"/>
          <w:sz w:val="23"/>
          <w:szCs w:val="23"/>
        </w:rPr>
      </w:pPr>
      <w:r>
        <w:rPr>
          <w:rFonts w:ascii="Arial" w:eastAsia="Arial" w:hAnsi="Arial" w:cs="Arial"/>
          <w:sz w:val="23"/>
          <w:szCs w:val="23"/>
        </w:rPr>
        <w:t>Chronic NSAID use</w:t>
      </w:r>
    </w:p>
    <w:p w14:paraId="1AD5EF53" w14:textId="77777777" w:rsidR="007460CE" w:rsidRDefault="007460CE">
      <w:pPr>
        <w:spacing w:line="11" w:lineRule="exact"/>
        <w:rPr>
          <w:rFonts w:ascii="Arial" w:eastAsia="Arial" w:hAnsi="Arial" w:cs="Arial"/>
          <w:sz w:val="23"/>
          <w:szCs w:val="23"/>
        </w:rPr>
      </w:pPr>
    </w:p>
    <w:p w14:paraId="1C4AF2F6" w14:textId="77777777" w:rsidR="007460CE" w:rsidRDefault="00775352">
      <w:pPr>
        <w:numPr>
          <w:ilvl w:val="0"/>
          <w:numId w:val="4"/>
        </w:numPr>
        <w:tabs>
          <w:tab w:val="left" w:pos="1240"/>
        </w:tabs>
        <w:spacing w:line="250" w:lineRule="auto"/>
        <w:ind w:left="1240" w:right="280" w:hanging="495"/>
        <w:rPr>
          <w:rFonts w:ascii="Arial" w:eastAsia="Arial" w:hAnsi="Arial" w:cs="Arial"/>
          <w:sz w:val="23"/>
          <w:szCs w:val="23"/>
        </w:rPr>
      </w:pPr>
      <w:r>
        <w:rPr>
          <w:rFonts w:ascii="Arial" w:eastAsia="Arial" w:hAnsi="Arial" w:cs="Arial"/>
          <w:sz w:val="23"/>
          <w:szCs w:val="23"/>
        </w:rPr>
        <w:t>African, African-Caribbean, Asian family history</w:t>
      </w:r>
    </w:p>
    <w:p w14:paraId="02577680" w14:textId="77777777" w:rsidR="007460CE" w:rsidRDefault="007460CE">
      <w:pPr>
        <w:spacing w:line="1" w:lineRule="exact"/>
        <w:rPr>
          <w:rFonts w:ascii="Arial" w:eastAsia="Arial" w:hAnsi="Arial" w:cs="Arial"/>
          <w:sz w:val="23"/>
          <w:szCs w:val="23"/>
        </w:rPr>
      </w:pPr>
    </w:p>
    <w:p w14:paraId="7069C9A4" w14:textId="77777777" w:rsidR="007460CE" w:rsidRDefault="00775352">
      <w:pPr>
        <w:numPr>
          <w:ilvl w:val="0"/>
          <w:numId w:val="4"/>
        </w:numPr>
        <w:tabs>
          <w:tab w:val="left" w:pos="1240"/>
        </w:tabs>
        <w:spacing w:line="287" w:lineRule="auto"/>
        <w:ind w:left="1240" w:right="1080" w:hanging="495"/>
        <w:rPr>
          <w:rFonts w:ascii="Arial" w:eastAsia="Arial" w:hAnsi="Arial" w:cs="Arial"/>
          <w:sz w:val="23"/>
          <w:szCs w:val="23"/>
        </w:rPr>
      </w:pPr>
      <w:r>
        <w:rPr>
          <w:rFonts w:ascii="Arial" w:eastAsia="Arial" w:hAnsi="Arial" w:cs="Arial"/>
          <w:sz w:val="23"/>
          <w:szCs w:val="23"/>
        </w:rPr>
        <w:t>Untreated urinary outflow obstruction</w:t>
      </w:r>
    </w:p>
    <w:p w14:paraId="25697AD0" w14:textId="77777777" w:rsidR="007460CE" w:rsidRDefault="007460CE">
      <w:pPr>
        <w:spacing w:line="195" w:lineRule="exact"/>
        <w:rPr>
          <w:sz w:val="20"/>
          <w:szCs w:val="20"/>
        </w:rPr>
      </w:pPr>
    </w:p>
    <w:p w14:paraId="5A994D0F" w14:textId="77777777" w:rsidR="007460CE" w:rsidRDefault="00775352">
      <w:pPr>
        <w:spacing w:line="250" w:lineRule="auto"/>
        <w:ind w:right="140"/>
        <w:jc w:val="both"/>
        <w:rPr>
          <w:sz w:val="20"/>
          <w:szCs w:val="20"/>
        </w:rPr>
      </w:pPr>
      <w:r>
        <w:rPr>
          <w:rFonts w:ascii="Arial" w:eastAsia="Arial" w:hAnsi="Arial" w:cs="Arial"/>
          <w:sz w:val="23"/>
          <w:szCs w:val="23"/>
        </w:rPr>
        <w:t>Regularly monitor those on drugs with a high risk of nephrotoxicity.</w:t>
      </w:r>
    </w:p>
    <w:p w14:paraId="462E2DF0" w14:textId="77777777" w:rsidR="007460CE" w:rsidRDefault="007460CE">
      <w:pPr>
        <w:spacing w:line="1" w:lineRule="exact"/>
        <w:rPr>
          <w:sz w:val="20"/>
          <w:szCs w:val="20"/>
        </w:rPr>
      </w:pPr>
    </w:p>
    <w:p w14:paraId="74A522D5" w14:textId="77777777" w:rsidR="007460CE" w:rsidRDefault="00775352">
      <w:pPr>
        <w:spacing w:line="259" w:lineRule="auto"/>
        <w:ind w:right="140"/>
        <w:jc w:val="both"/>
        <w:rPr>
          <w:sz w:val="20"/>
          <w:szCs w:val="20"/>
        </w:rPr>
      </w:pPr>
      <w:r>
        <w:rPr>
          <w:rFonts w:ascii="Arial" w:eastAsia="Arial" w:hAnsi="Arial" w:cs="Arial"/>
          <w:sz w:val="23"/>
          <w:szCs w:val="23"/>
        </w:rPr>
        <w:t xml:space="preserve">Those on prescribed drugs known to be nephrotoxic, such as calcineurin inhibitors, </w:t>
      </w:r>
      <w:proofErr w:type="gramStart"/>
      <w:r>
        <w:rPr>
          <w:rFonts w:ascii="Arial" w:eastAsia="Arial" w:hAnsi="Arial" w:cs="Arial"/>
          <w:sz w:val="23"/>
          <w:szCs w:val="23"/>
        </w:rPr>
        <w:t>lithium</w:t>
      </w:r>
      <w:proofErr w:type="gramEnd"/>
      <w:r>
        <w:rPr>
          <w:rFonts w:ascii="Arial" w:eastAsia="Arial" w:hAnsi="Arial" w:cs="Arial"/>
          <w:sz w:val="23"/>
          <w:szCs w:val="23"/>
        </w:rPr>
        <w:t xml:space="preserve"> and non- steroidal anti-inflammatory drugs (NSAIDs) should have an annual eGFR check.</w:t>
      </w:r>
    </w:p>
    <w:p w14:paraId="7E362CA0" w14:textId="77777777" w:rsidR="007460CE" w:rsidRDefault="00775352">
      <w:pPr>
        <w:spacing w:line="20" w:lineRule="exact"/>
        <w:rPr>
          <w:sz w:val="20"/>
          <w:szCs w:val="20"/>
        </w:rPr>
      </w:pPr>
      <w:r>
        <w:rPr>
          <w:sz w:val="20"/>
          <w:szCs w:val="20"/>
        </w:rPr>
        <w:br w:type="column"/>
      </w:r>
    </w:p>
    <w:p w14:paraId="7F5B0203" w14:textId="77777777" w:rsidR="007460CE" w:rsidRDefault="00775352">
      <w:pPr>
        <w:spacing w:line="244" w:lineRule="auto"/>
        <w:ind w:right="140"/>
        <w:rPr>
          <w:sz w:val="20"/>
          <w:szCs w:val="20"/>
        </w:rPr>
      </w:pPr>
      <w:r>
        <w:rPr>
          <w:rFonts w:ascii="Arial" w:eastAsia="Arial" w:hAnsi="Arial" w:cs="Arial"/>
          <w:b/>
          <w:bCs/>
          <w:color w:val="189138"/>
          <w:sz w:val="28"/>
          <w:szCs w:val="28"/>
        </w:rPr>
        <w:t>Prevention or delay progression of CKD</w:t>
      </w:r>
    </w:p>
    <w:p w14:paraId="61693216" w14:textId="77777777" w:rsidR="007460CE" w:rsidRDefault="007460CE">
      <w:pPr>
        <w:spacing w:line="270" w:lineRule="exact"/>
        <w:rPr>
          <w:sz w:val="20"/>
          <w:szCs w:val="20"/>
        </w:rPr>
      </w:pPr>
    </w:p>
    <w:p w14:paraId="1BB35FB8" w14:textId="77777777" w:rsidR="007460CE" w:rsidRDefault="00775352">
      <w:pPr>
        <w:spacing w:line="239" w:lineRule="auto"/>
        <w:ind w:right="140"/>
        <w:rPr>
          <w:sz w:val="20"/>
          <w:szCs w:val="20"/>
        </w:rPr>
      </w:pPr>
      <w:r>
        <w:rPr>
          <w:rFonts w:ascii="Arial" w:eastAsia="Arial" w:hAnsi="Arial" w:cs="Arial"/>
          <w:b/>
          <w:bCs/>
          <w:sz w:val="24"/>
          <w:szCs w:val="24"/>
        </w:rPr>
        <w:t>Offer lifestyle advice to those with or at risk of CKD</w:t>
      </w:r>
    </w:p>
    <w:p w14:paraId="4B6BD4A2" w14:textId="77777777" w:rsidR="007460CE" w:rsidRDefault="00775352">
      <w:pPr>
        <w:numPr>
          <w:ilvl w:val="0"/>
          <w:numId w:val="5"/>
        </w:numPr>
        <w:tabs>
          <w:tab w:val="left" w:pos="1240"/>
        </w:tabs>
        <w:ind w:left="1240" w:hanging="502"/>
        <w:rPr>
          <w:rFonts w:ascii="Arial" w:eastAsia="Arial" w:hAnsi="Arial" w:cs="Arial"/>
        </w:rPr>
      </w:pPr>
      <w:r>
        <w:rPr>
          <w:rFonts w:ascii="Arial" w:eastAsia="Arial" w:hAnsi="Arial" w:cs="Arial"/>
        </w:rPr>
        <w:t>Regular exercise</w:t>
      </w:r>
    </w:p>
    <w:p w14:paraId="02C92CF0" w14:textId="77777777" w:rsidR="007460CE" w:rsidRDefault="007460CE">
      <w:pPr>
        <w:spacing w:line="11" w:lineRule="exact"/>
        <w:rPr>
          <w:rFonts w:ascii="Arial" w:eastAsia="Arial" w:hAnsi="Arial" w:cs="Arial"/>
        </w:rPr>
      </w:pPr>
    </w:p>
    <w:p w14:paraId="7ACD9DBE" w14:textId="77777777" w:rsidR="007460CE" w:rsidRDefault="00775352">
      <w:pPr>
        <w:numPr>
          <w:ilvl w:val="0"/>
          <w:numId w:val="5"/>
        </w:numPr>
        <w:tabs>
          <w:tab w:val="left" w:pos="1240"/>
        </w:tabs>
        <w:ind w:left="1240" w:hanging="502"/>
        <w:rPr>
          <w:rFonts w:ascii="Arial" w:eastAsia="Arial" w:hAnsi="Arial" w:cs="Arial"/>
        </w:rPr>
      </w:pPr>
      <w:r>
        <w:rPr>
          <w:rFonts w:ascii="Arial" w:eastAsia="Arial" w:hAnsi="Arial" w:cs="Arial"/>
        </w:rPr>
        <w:t>Maintain healthy weight</w:t>
      </w:r>
    </w:p>
    <w:p w14:paraId="3D2988D3" w14:textId="77777777" w:rsidR="007460CE" w:rsidRDefault="007460CE">
      <w:pPr>
        <w:spacing w:line="11" w:lineRule="exact"/>
        <w:rPr>
          <w:rFonts w:ascii="Arial" w:eastAsia="Arial" w:hAnsi="Arial" w:cs="Arial"/>
        </w:rPr>
      </w:pPr>
    </w:p>
    <w:p w14:paraId="7D72C85C" w14:textId="77777777" w:rsidR="007460CE" w:rsidRDefault="00775352">
      <w:pPr>
        <w:numPr>
          <w:ilvl w:val="0"/>
          <w:numId w:val="5"/>
        </w:numPr>
        <w:tabs>
          <w:tab w:val="left" w:pos="1240"/>
        </w:tabs>
        <w:ind w:left="1240" w:hanging="502"/>
        <w:rPr>
          <w:rFonts w:ascii="Arial" w:eastAsia="Arial" w:hAnsi="Arial" w:cs="Arial"/>
        </w:rPr>
      </w:pPr>
      <w:r>
        <w:rPr>
          <w:rFonts w:ascii="Arial" w:eastAsia="Arial" w:hAnsi="Arial" w:cs="Arial"/>
        </w:rPr>
        <w:t>Stop smoking</w:t>
      </w:r>
    </w:p>
    <w:p w14:paraId="377D7D17" w14:textId="77777777" w:rsidR="007460CE" w:rsidRDefault="007460CE">
      <w:pPr>
        <w:spacing w:line="287" w:lineRule="exact"/>
        <w:rPr>
          <w:sz w:val="20"/>
          <w:szCs w:val="20"/>
        </w:rPr>
      </w:pPr>
    </w:p>
    <w:p w14:paraId="6434A502" w14:textId="77777777" w:rsidR="007460CE" w:rsidRDefault="00775352">
      <w:pPr>
        <w:rPr>
          <w:sz w:val="20"/>
          <w:szCs w:val="20"/>
        </w:rPr>
      </w:pPr>
      <w:r>
        <w:rPr>
          <w:rFonts w:ascii="Arial" w:eastAsia="Arial" w:hAnsi="Arial" w:cs="Arial"/>
          <w:b/>
          <w:bCs/>
          <w:sz w:val="24"/>
          <w:szCs w:val="24"/>
        </w:rPr>
        <w:t>Control blood pressure</w:t>
      </w:r>
    </w:p>
    <w:p w14:paraId="52AB2CC5" w14:textId="048333B7" w:rsidR="007460CE" w:rsidRDefault="00775352">
      <w:pPr>
        <w:spacing w:line="268" w:lineRule="auto"/>
        <w:ind w:right="140"/>
        <w:jc w:val="both"/>
        <w:rPr>
          <w:sz w:val="20"/>
          <w:szCs w:val="20"/>
        </w:rPr>
      </w:pPr>
      <w:r>
        <w:rPr>
          <w:rFonts w:ascii="Arial" w:eastAsia="Arial" w:hAnsi="Arial" w:cs="Arial"/>
        </w:rPr>
        <w:t xml:space="preserve">In all stages of CKD and low proteinuria aim for BP below 140/90mmHg. </w:t>
      </w:r>
    </w:p>
    <w:p w14:paraId="0BE162C0" w14:textId="77777777" w:rsidR="007460CE" w:rsidRDefault="007460CE">
      <w:pPr>
        <w:spacing w:line="209" w:lineRule="exact"/>
        <w:rPr>
          <w:sz w:val="20"/>
          <w:szCs w:val="20"/>
        </w:rPr>
      </w:pPr>
    </w:p>
    <w:p w14:paraId="609629C7" w14:textId="64647B84" w:rsidR="007460CE" w:rsidRDefault="00775352">
      <w:pPr>
        <w:spacing w:line="259" w:lineRule="auto"/>
        <w:ind w:right="140"/>
        <w:jc w:val="both"/>
        <w:rPr>
          <w:sz w:val="20"/>
          <w:szCs w:val="20"/>
        </w:rPr>
      </w:pPr>
      <w:r>
        <w:rPr>
          <w:rFonts w:ascii="Arial" w:eastAsia="Arial" w:hAnsi="Arial" w:cs="Arial"/>
        </w:rPr>
        <w:t xml:space="preserve">Tighter targets are recommended in those with </w:t>
      </w:r>
      <w:r w:rsidR="00D17118">
        <w:rPr>
          <w:rFonts w:ascii="Arial" w:eastAsia="Arial" w:hAnsi="Arial" w:cs="Arial"/>
        </w:rPr>
        <w:t xml:space="preserve">Polycystic Kidney Disease or </w:t>
      </w:r>
      <w:r>
        <w:rPr>
          <w:rFonts w:ascii="Arial" w:eastAsia="Arial" w:hAnsi="Arial" w:cs="Arial"/>
        </w:rPr>
        <w:t xml:space="preserve">an albumin/creatinine ratio (ACR) ≥70mg/mmol. In this population aim to keep BP below 130/80mmHg. </w:t>
      </w:r>
    </w:p>
    <w:p w14:paraId="7BCDA2D0" w14:textId="77777777" w:rsidR="007460CE" w:rsidRDefault="007460CE">
      <w:pPr>
        <w:spacing w:line="219" w:lineRule="exact"/>
        <w:rPr>
          <w:sz w:val="20"/>
          <w:szCs w:val="20"/>
        </w:rPr>
      </w:pPr>
    </w:p>
    <w:p w14:paraId="1AEBF881" w14:textId="77777777" w:rsidR="007460CE" w:rsidRDefault="00775352">
      <w:pPr>
        <w:spacing w:line="274" w:lineRule="auto"/>
        <w:ind w:right="140"/>
        <w:jc w:val="both"/>
        <w:rPr>
          <w:sz w:val="20"/>
          <w:szCs w:val="20"/>
        </w:rPr>
      </w:pPr>
      <w:r>
        <w:rPr>
          <w:rFonts w:ascii="Arial" w:eastAsia="Arial" w:hAnsi="Arial" w:cs="Arial"/>
          <w:sz w:val="21"/>
          <w:szCs w:val="21"/>
        </w:rPr>
        <w:t>Renin angiotensin system antagonists should be offered to diabetic patients with ACR ≥3mg/mmol, those with hypertension and an ACR ≥30mg/ mmol and anyone with an ACR&gt;70mg/mmol, as they can lessen proteinuria.</w:t>
      </w:r>
    </w:p>
    <w:p w14:paraId="69A938EA" w14:textId="77777777" w:rsidR="007460CE" w:rsidRDefault="007460CE">
      <w:pPr>
        <w:spacing w:line="218" w:lineRule="exact"/>
        <w:rPr>
          <w:sz w:val="20"/>
          <w:szCs w:val="20"/>
        </w:rPr>
      </w:pPr>
    </w:p>
    <w:p w14:paraId="1BF950DC" w14:textId="77777777" w:rsidR="007460CE" w:rsidRDefault="00775352">
      <w:pPr>
        <w:rPr>
          <w:sz w:val="20"/>
          <w:szCs w:val="20"/>
        </w:rPr>
      </w:pPr>
      <w:r>
        <w:rPr>
          <w:rFonts w:ascii="Arial" w:eastAsia="Arial" w:hAnsi="Arial" w:cs="Arial"/>
          <w:b/>
          <w:bCs/>
          <w:sz w:val="24"/>
          <w:szCs w:val="24"/>
        </w:rPr>
        <w:t>Reduce cardiovascular risk</w:t>
      </w:r>
    </w:p>
    <w:p w14:paraId="469FD852" w14:textId="77777777" w:rsidR="007460CE" w:rsidRDefault="00775352">
      <w:pPr>
        <w:spacing w:line="268" w:lineRule="auto"/>
        <w:ind w:right="140"/>
        <w:jc w:val="both"/>
        <w:rPr>
          <w:sz w:val="20"/>
          <w:szCs w:val="20"/>
        </w:rPr>
      </w:pPr>
      <w:r>
        <w:rPr>
          <w:rFonts w:ascii="Arial" w:eastAsia="Arial" w:hAnsi="Arial" w:cs="Arial"/>
        </w:rPr>
        <w:t>Adults with chronic kidney disease should be offered a statin. Atorvastatin 20mg od is the preferred agent.</w:t>
      </w:r>
    </w:p>
    <w:p w14:paraId="7D3A97CE" w14:textId="77777777" w:rsidR="007460CE" w:rsidRDefault="007460CE">
      <w:pPr>
        <w:spacing w:line="238" w:lineRule="exact"/>
        <w:rPr>
          <w:sz w:val="20"/>
          <w:szCs w:val="20"/>
        </w:rPr>
      </w:pPr>
    </w:p>
    <w:p w14:paraId="4BDEA7C1" w14:textId="77777777" w:rsidR="007460CE" w:rsidRDefault="00775352">
      <w:pPr>
        <w:rPr>
          <w:sz w:val="20"/>
          <w:szCs w:val="20"/>
        </w:rPr>
      </w:pPr>
      <w:r>
        <w:rPr>
          <w:rFonts w:ascii="Arial" w:eastAsia="Arial" w:hAnsi="Arial" w:cs="Arial"/>
          <w:b/>
          <w:bCs/>
          <w:color w:val="189138"/>
          <w:sz w:val="28"/>
          <w:szCs w:val="28"/>
        </w:rPr>
        <w:t>Managing complications of CKD</w:t>
      </w:r>
    </w:p>
    <w:p w14:paraId="37D682F0" w14:textId="77777777" w:rsidR="007460CE" w:rsidRDefault="007460CE">
      <w:pPr>
        <w:spacing w:line="261" w:lineRule="exact"/>
        <w:rPr>
          <w:sz w:val="20"/>
          <w:szCs w:val="20"/>
        </w:rPr>
      </w:pPr>
    </w:p>
    <w:p w14:paraId="3B69F346" w14:textId="77777777" w:rsidR="007460CE" w:rsidRDefault="00775352">
      <w:pPr>
        <w:rPr>
          <w:sz w:val="20"/>
          <w:szCs w:val="20"/>
        </w:rPr>
      </w:pPr>
      <w:r>
        <w:rPr>
          <w:rFonts w:ascii="Arial" w:eastAsia="Arial" w:hAnsi="Arial" w:cs="Arial"/>
          <w:b/>
          <w:bCs/>
          <w:sz w:val="24"/>
          <w:szCs w:val="24"/>
        </w:rPr>
        <w:t>Anaemia</w:t>
      </w:r>
    </w:p>
    <w:p w14:paraId="6AA6A635" w14:textId="77777777" w:rsidR="007460CE" w:rsidRDefault="00775352">
      <w:pPr>
        <w:spacing w:line="256" w:lineRule="auto"/>
        <w:ind w:right="140"/>
        <w:jc w:val="both"/>
        <w:rPr>
          <w:sz w:val="20"/>
          <w:szCs w:val="20"/>
        </w:rPr>
      </w:pPr>
      <w:r>
        <w:rPr>
          <w:rFonts w:ascii="Arial" w:eastAsia="Arial" w:hAnsi="Arial" w:cs="Arial"/>
        </w:rPr>
        <w:t>Patients should be monitored for renal anaemia when eGFR falls below 45ml/min. Once other causes of anaemia have been excluded iron stores should be replenished. Most patients will require IV iron to achieve sufficient iron stores. Erythropoietin stimulating agents (ESAs) e.g. Eprex®, Neorecormon®, Aranesp®, Mircera®,</w:t>
      </w:r>
    </w:p>
    <w:p w14:paraId="16434108" w14:textId="77777777" w:rsidR="007460CE" w:rsidRDefault="00775352">
      <w:pPr>
        <w:spacing w:line="20" w:lineRule="exact"/>
        <w:rPr>
          <w:sz w:val="20"/>
          <w:szCs w:val="20"/>
        </w:rPr>
      </w:pPr>
      <w:r>
        <w:rPr>
          <w:sz w:val="20"/>
          <w:szCs w:val="20"/>
        </w:rPr>
        <w:br w:type="column"/>
      </w:r>
    </w:p>
    <w:p w14:paraId="2D229A76" w14:textId="7DE36146" w:rsidR="007460CE" w:rsidRDefault="00775352">
      <w:pPr>
        <w:spacing w:line="274" w:lineRule="auto"/>
        <w:jc w:val="both"/>
        <w:rPr>
          <w:sz w:val="20"/>
          <w:szCs w:val="20"/>
        </w:rPr>
      </w:pPr>
      <w:r>
        <w:rPr>
          <w:rFonts w:ascii="Arial" w:eastAsia="Arial" w:hAnsi="Arial" w:cs="Arial"/>
          <w:sz w:val="21"/>
          <w:szCs w:val="21"/>
        </w:rPr>
        <w:t>are offered once iron stores are corrected to achieve a haemoglobin of 100-120g/L. Hypoxia-Inducible Factor Prolyl Hydroxylase Inhibitors may provide oral alternative to ESA’s in the future.</w:t>
      </w:r>
    </w:p>
    <w:p w14:paraId="238C7071" w14:textId="77777777" w:rsidR="007460CE" w:rsidRDefault="007460CE">
      <w:pPr>
        <w:spacing w:line="218" w:lineRule="exact"/>
        <w:rPr>
          <w:sz w:val="20"/>
          <w:szCs w:val="20"/>
        </w:rPr>
      </w:pPr>
    </w:p>
    <w:p w14:paraId="5DC27524" w14:textId="77777777" w:rsidR="007460CE" w:rsidRDefault="00775352">
      <w:pPr>
        <w:rPr>
          <w:sz w:val="20"/>
          <w:szCs w:val="20"/>
        </w:rPr>
      </w:pPr>
      <w:r>
        <w:rPr>
          <w:rFonts w:ascii="Arial" w:eastAsia="Arial" w:hAnsi="Arial" w:cs="Arial"/>
          <w:b/>
          <w:bCs/>
          <w:sz w:val="24"/>
          <w:szCs w:val="24"/>
        </w:rPr>
        <w:t>Bone disease and osteoporosis</w:t>
      </w:r>
    </w:p>
    <w:p w14:paraId="0814DAF8" w14:textId="77777777" w:rsidR="007460CE" w:rsidRDefault="00775352">
      <w:pPr>
        <w:spacing w:line="255" w:lineRule="auto"/>
        <w:jc w:val="both"/>
        <w:rPr>
          <w:sz w:val="20"/>
          <w:szCs w:val="20"/>
        </w:rPr>
      </w:pPr>
      <w:r>
        <w:rPr>
          <w:rFonts w:ascii="Arial" w:eastAsia="Arial" w:hAnsi="Arial" w:cs="Arial"/>
        </w:rPr>
        <w:t>Calcium, phosphate and iPTH should be checked when eGFR falls below 30ml/min. A rising Alkaline Phosphatase along with elevated iPTH and falling calcium indicate renal bone disease (now referred to as chronic kidney disease mineral bone disorder or CKD–MBD). Renal Association guidelines provide target levels for iPTH, calcium and phosphate.</w:t>
      </w:r>
    </w:p>
    <w:p w14:paraId="23211D5C" w14:textId="77777777" w:rsidR="007460CE" w:rsidRDefault="007460CE">
      <w:pPr>
        <w:spacing w:line="226" w:lineRule="exact"/>
        <w:rPr>
          <w:sz w:val="20"/>
          <w:szCs w:val="20"/>
        </w:rPr>
      </w:pPr>
    </w:p>
    <w:p w14:paraId="48700DEA" w14:textId="77777777" w:rsidR="007460CE" w:rsidRDefault="00775352">
      <w:pPr>
        <w:spacing w:line="269" w:lineRule="auto"/>
        <w:jc w:val="both"/>
        <w:rPr>
          <w:sz w:val="20"/>
          <w:szCs w:val="20"/>
        </w:rPr>
      </w:pPr>
      <w:r>
        <w:rPr>
          <w:rFonts w:ascii="Arial" w:eastAsia="Arial" w:hAnsi="Arial" w:cs="Arial"/>
          <w:sz w:val="21"/>
          <w:szCs w:val="21"/>
        </w:rPr>
        <w:t>Vitamin D analogues such as alfacalcidol or calcitriol are prescribed to maintain normocalcaemia and protect bones. If secondary hyperparathyroidism develops patients may be offered a parathyroidectomy. Calcimimetics such as cinacalcet or etelcalcetide are prescribed in line with NICE guidance if surgery is contra-indicated to manage secondary hyperparathyroidism.</w:t>
      </w:r>
    </w:p>
    <w:p w14:paraId="0DD2AC64" w14:textId="77777777" w:rsidR="007460CE" w:rsidRDefault="007460CE">
      <w:pPr>
        <w:spacing w:line="211" w:lineRule="exact"/>
        <w:rPr>
          <w:sz w:val="20"/>
          <w:szCs w:val="20"/>
        </w:rPr>
      </w:pPr>
    </w:p>
    <w:p w14:paraId="662C3EC2" w14:textId="0B970BC4" w:rsidR="007460CE" w:rsidRDefault="00775352">
      <w:pPr>
        <w:spacing w:line="252" w:lineRule="auto"/>
        <w:jc w:val="both"/>
        <w:rPr>
          <w:sz w:val="20"/>
          <w:szCs w:val="20"/>
        </w:rPr>
      </w:pPr>
      <w:r>
        <w:rPr>
          <w:rFonts w:ascii="Arial" w:eastAsia="Arial" w:hAnsi="Arial" w:cs="Arial"/>
        </w:rPr>
        <w:t xml:space="preserve">Dietary advice and phosphate binders are prescribed to achieve target phosphate levels. After diet restrictions calcium acetate is recommend first line in England. Since the introduction of generic sevelamer carbonate, this is generally offered second line. Lanthanum is prescribed as an alternative to sevelamer and comes in a range of strengths reducing tablet burden. </w:t>
      </w:r>
      <w:r w:rsidR="00A6668D">
        <w:rPr>
          <w:rFonts w:ascii="Arial" w:eastAsia="Arial" w:hAnsi="Arial" w:cs="Arial"/>
        </w:rPr>
        <w:t>I</w:t>
      </w:r>
      <w:r>
        <w:rPr>
          <w:rFonts w:ascii="Arial" w:eastAsia="Arial" w:hAnsi="Arial" w:cs="Arial"/>
        </w:rPr>
        <w:t xml:space="preserve">ron and </w:t>
      </w:r>
      <w:proofErr w:type="gramStart"/>
      <w:r>
        <w:rPr>
          <w:rFonts w:ascii="Arial" w:eastAsia="Arial" w:hAnsi="Arial" w:cs="Arial"/>
        </w:rPr>
        <w:t>magnesium based</w:t>
      </w:r>
      <w:proofErr w:type="gramEnd"/>
      <w:r>
        <w:rPr>
          <w:rFonts w:ascii="Arial" w:eastAsia="Arial" w:hAnsi="Arial" w:cs="Arial"/>
        </w:rPr>
        <w:t xml:space="preserve"> binders are reserved for third line use. Phosphate binders must be taken with meals to be effective and care must be taken to avoid interactions with other medication, eg. iron supplements</w:t>
      </w:r>
      <w:r w:rsidR="003351B4">
        <w:rPr>
          <w:rFonts w:ascii="Arial" w:eastAsia="Arial" w:hAnsi="Arial" w:cs="Arial"/>
        </w:rPr>
        <w:t xml:space="preserve"> </w:t>
      </w:r>
      <w:r>
        <w:rPr>
          <w:rFonts w:ascii="Arial" w:eastAsia="Arial" w:hAnsi="Arial" w:cs="Arial"/>
        </w:rPr>
        <w:t xml:space="preserve">/ ciprofloxacin. Calcium levels should be monitored in those prescribed </w:t>
      </w:r>
      <w:proofErr w:type="gramStart"/>
      <w:r>
        <w:rPr>
          <w:rFonts w:ascii="Arial" w:eastAsia="Arial" w:hAnsi="Arial" w:cs="Arial"/>
        </w:rPr>
        <w:t>calcium</w:t>
      </w:r>
      <w:r w:rsidR="003351B4">
        <w:rPr>
          <w:rFonts w:ascii="Arial" w:eastAsia="Arial" w:hAnsi="Arial" w:cs="Arial"/>
        </w:rPr>
        <w:t xml:space="preserve"> </w:t>
      </w:r>
      <w:r>
        <w:rPr>
          <w:rFonts w:ascii="Arial" w:eastAsia="Arial" w:hAnsi="Arial" w:cs="Arial"/>
        </w:rPr>
        <w:t>based</w:t>
      </w:r>
      <w:proofErr w:type="gramEnd"/>
      <w:r>
        <w:rPr>
          <w:rFonts w:ascii="Arial" w:eastAsia="Arial" w:hAnsi="Arial" w:cs="Arial"/>
        </w:rPr>
        <w:t xml:space="preserve"> binders.</w:t>
      </w:r>
    </w:p>
    <w:sectPr w:rsidR="007460CE">
      <w:pgSz w:w="16840" w:h="11906" w:orient="landscape"/>
      <w:pgMar w:top="363" w:right="418" w:bottom="0" w:left="420" w:header="0" w:footer="0" w:gutter="0"/>
      <w:cols w:num="3" w:space="720" w:equalWidth="0">
        <w:col w:w="4900" w:space="720"/>
        <w:col w:w="4900" w:space="720"/>
        <w:col w:w="47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95CFF"/>
    <w:multiLevelType w:val="hybridMultilevel"/>
    <w:tmpl w:val="A7588932"/>
    <w:lvl w:ilvl="0" w:tplc="C6F4FE7A">
      <w:start w:val="1"/>
      <w:numFmt w:val="bullet"/>
      <w:lvlText w:val="●"/>
      <w:lvlJc w:val="left"/>
    </w:lvl>
    <w:lvl w:ilvl="1" w:tplc="26C0D9BC">
      <w:numFmt w:val="decimal"/>
      <w:lvlText w:val=""/>
      <w:lvlJc w:val="left"/>
    </w:lvl>
    <w:lvl w:ilvl="2" w:tplc="978EA57E">
      <w:numFmt w:val="decimal"/>
      <w:lvlText w:val=""/>
      <w:lvlJc w:val="left"/>
    </w:lvl>
    <w:lvl w:ilvl="3" w:tplc="78E6858C">
      <w:numFmt w:val="decimal"/>
      <w:lvlText w:val=""/>
      <w:lvlJc w:val="left"/>
    </w:lvl>
    <w:lvl w:ilvl="4" w:tplc="BBC860B0">
      <w:numFmt w:val="decimal"/>
      <w:lvlText w:val=""/>
      <w:lvlJc w:val="left"/>
    </w:lvl>
    <w:lvl w:ilvl="5" w:tplc="94062072">
      <w:numFmt w:val="decimal"/>
      <w:lvlText w:val=""/>
      <w:lvlJc w:val="left"/>
    </w:lvl>
    <w:lvl w:ilvl="6" w:tplc="326E0F50">
      <w:numFmt w:val="decimal"/>
      <w:lvlText w:val=""/>
      <w:lvlJc w:val="left"/>
    </w:lvl>
    <w:lvl w:ilvl="7" w:tplc="CAA23FDA">
      <w:numFmt w:val="decimal"/>
      <w:lvlText w:val=""/>
      <w:lvlJc w:val="left"/>
    </w:lvl>
    <w:lvl w:ilvl="8" w:tplc="19985936">
      <w:numFmt w:val="decimal"/>
      <w:lvlText w:val=""/>
      <w:lvlJc w:val="left"/>
    </w:lvl>
  </w:abstractNum>
  <w:abstractNum w:abstractNumId="1" w15:restartNumberingAfterBreak="0">
    <w:nsid w:val="238E1F29"/>
    <w:multiLevelType w:val="hybridMultilevel"/>
    <w:tmpl w:val="32AE9B46"/>
    <w:lvl w:ilvl="0" w:tplc="71D2ECBC">
      <w:start w:val="1"/>
      <w:numFmt w:val="bullet"/>
      <w:lvlText w:val="●"/>
      <w:lvlJc w:val="left"/>
    </w:lvl>
    <w:lvl w:ilvl="1" w:tplc="8402ABCE">
      <w:numFmt w:val="decimal"/>
      <w:lvlText w:val=""/>
      <w:lvlJc w:val="left"/>
    </w:lvl>
    <w:lvl w:ilvl="2" w:tplc="A7145728">
      <w:numFmt w:val="decimal"/>
      <w:lvlText w:val=""/>
      <w:lvlJc w:val="left"/>
    </w:lvl>
    <w:lvl w:ilvl="3" w:tplc="EA380FFA">
      <w:numFmt w:val="decimal"/>
      <w:lvlText w:val=""/>
      <w:lvlJc w:val="left"/>
    </w:lvl>
    <w:lvl w:ilvl="4" w:tplc="38FEED6A">
      <w:numFmt w:val="decimal"/>
      <w:lvlText w:val=""/>
      <w:lvlJc w:val="left"/>
    </w:lvl>
    <w:lvl w:ilvl="5" w:tplc="AD90F454">
      <w:numFmt w:val="decimal"/>
      <w:lvlText w:val=""/>
      <w:lvlJc w:val="left"/>
    </w:lvl>
    <w:lvl w:ilvl="6" w:tplc="DC1A9282">
      <w:numFmt w:val="decimal"/>
      <w:lvlText w:val=""/>
      <w:lvlJc w:val="left"/>
    </w:lvl>
    <w:lvl w:ilvl="7" w:tplc="EAC08574">
      <w:numFmt w:val="decimal"/>
      <w:lvlText w:val=""/>
      <w:lvlJc w:val="left"/>
    </w:lvl>
    <w:lvl w:ilvl="8" w:tplc="2460EAEA">
      <w:numFmt w:val="decimal"/>
      <w:lvlText w:val=""/>
      <w:lvlJc w:val="left"/>
    </w:lvl>
  </w:abstractNum>
  <w:abstractNum w:abstractNumId="2" w15:restartNumberingAfterBreak="0">
    <w:nsid w:val="2AE8944A"/>
    <w:multiLevelType w:val="hybridMultilevel"/>
    <w:tmpl w:val="ED9AE90C"/>
    <w:lvl w:ilvl="0" w:tplc="F8A4691A">
      <w:start w:val="1"/>
      <w:numFmt w:val="bullet"/>
      <w:lvlText w:val="●"/>
      <w:lvlJc w:val="left"/>
    </w:lvl>
    <w:lvl w:ilvl="1" w:tplc="66DC69EE">
      <w:numFmt w:val="decimal"/>
      <w:lvlText w:val=""/>
      <w:lvlJc w:val="left"/>
    </w:lvl>
    <w:lvl w:ilvl="2" w:tplc="560A5204">
      <w:numFmt w:val="decimal"/>
      <w:lvlText w:val=""/>
      <w:lvlJc w:val="left"/>
    </w:lvl>
    <w:lvl w:ilvl="3" w:tplc="C0FE7C72">
      <w:numFmt w:val="decimal"/>
      <w:lvlText w:val=""/>
      <w:lvlJc w:val="left"/>
    </w:lvl>
    <w:lvl w:ilvl="4" w:tplc="C1903E7C">
      <w:numFmt w:val="decimal"/>
      <w:lvlText w:val=""/>
      <w:lvlJc w:val="left"/>
    </w:lvl>
    <w:lvl w:ilvl="5" w:tplc="9D60061C">
      <w:numFmt w:val="decimal"/>
      <w:lvlText w:val=""/>
      <w:lvlJc w:val="left"/>
    </w:lvl>
    <w:lvl w:ilvl="6" w:tplc="C24EA6A8">
      <w:numFmt w:val="decimal"/>
      <w:lvlText w:val=""/>
      <w:lvlJc w:val="left"/>
    </w:lvl>
    <w:lvl w:ilvl="7" w:tplc="F050BC30">
      <w:numFmt w:val="decimal"/>
      <w:lvlText w:val=""/>
      <w:lvlJc w:val="left"/>
    </w:lvl>
    <w:lvl w:ilvl="8" w:tplc="1BF4BFC0">
      <w:numFmt w:val="decimal"/>
      <w:lvlText w:val=""/>
      <w:lvlJc w:val="left"/>
    </w:lvl>
  </w:abstractNum>
  <w:abstractNum w:abstractNumId="3" w15:restartNumberingAfterBreak="0">
    <w:nsid w:val="46E87CCD"/>
    <w:multiLevelType w:val="hybridMultilevel"/>
    <w:tmpl w:val="C8864D5C"/>
    <w:lvl w:ilvl="0" w:tplc="2418F19E">
      <w:start w:val="1"/>
      <w:numFmt w:val="bullet"/>
      <w:lvlText w:val="●"/>
      <w:lvlJc w:val="left"/>
    </w:lvl>
    <w:lvl w:ilvl="1" w:tplc="F8FA1238">
      <w:numFmt w:val="decimal"/>
      <w:lvlText w:val=""/>
      <w:lvlJc w:val="left"/>
    </w:lvl>
    <w:lvl w:ilvl="2" w:tplc="51824C7E">
      <w:numFmt w:val="decimal"/>
      <w:lvlText w:val=""/>
      <w:lvlJc w:val="left"/>
    </w:lvl>
    <w:lvl w:ilvl="3" w:tplc="DCCAAD60">
      <w:numFmt w:val="decimal"/>
      <w:lvlText w:val=""/>
      <w:lvlJc w:val="left"/>
    </w:lvl>
    <w:lvl w:ilvl="4" w:tplc="D21ADE16">
      <w:numFmt w:val="decimal"/>
      <w:lvlText w:val=""/>
      <w:lvlJc w:val="left"/>
    </w:lvl>
    <w:lvl w:ilvl="5" w:tplc="885C9C7E">
      <w:numFmt w:val="decimal"/>
      <w:lvlText w:val=""/>
      <w:lvlJc w:val="left"/>
    </w:lvl>
    <w:lvl w:ilvl="6" w:tplc="33AA8B3A">
      <w:numFmt w:val="decimal"/>
      <w:lvlText w:val=""/>
      <w:lvlJc w:val="left"/>
    </w:lvl>
    <w:lvl w:ilvl="7" w:tplc="CBA8865A">
      <w:numFmt w:val="decimal"/>
      <w:lvlText w:val=""/>
      <w:lvlJc w:val="left"/>
    </w:lvl>
    <w:lvl w:ilvl="8" w:tplc="C4D818AE">
      <w:numFmt w:val="decimal"/>
      <w:lvlText w:val=""/>
      <w:lvlJc w:val="left"/>
    </w:lvl>
  </w:abstractNum>
  <w:abstractNum w:abstractNumId="4" w15:restartNumberingAfterBreak="0">
    <w:nsid w:val="625558EC"/>
    <w:multiLevelType w:val="hybridMultilevel"/>
    <w:tmpl w:val="BE02CF6E"/>
    <w:lvl w:ilvl="0" w:tplc="63C4CB0C">
      <w:start w:val="1"/>
      <w:numFmt w:val="bullet"/>
      <w:lvlText w:val="●"/>
      <w:lvlJc w:val="left"/>
    </w:lvl>
    <w:lvl w:ilvl="1" w:tplc="0EE4C5C2">
      <w:numFmt w:val="decimal"/>
      <w:lvlText w:val=""/>
      <w:lvlJc w:val="left"/>
    </w:lvl>
    <w:lvl w:ilvl="2" w:tplc="39780FF8">
      <w:numFmt w:val="decimal"/>
      <w:lvlText w:val=""/>
      <w:lvlJc w:val="left"/>
    </w:lvl>
    <w:lvl w:ilvl="3" w:tplc="EB92FCDC">
      <w:numFmt w:val="decimal"/>
      <w:lvlText w:val=""/>
      <w:lvlJc w:val="left"/>
    </w:lvl>
    <w:lvl w:ilvl="4" w:tplc="3E800CB4">
      <w:numFmt w:val="decimal"/>
      <w:lvlText w:val=""/>
      <w:lvlJc w:val="left"/>
    </w:lvl>
    <w:lvl w:ilvl="5" w:tplc="967EDA98">
      <w:numFmt w:val="decimal"/>
      <w:lvlText w:val=""/>
      <w:lvlJc w:val="left"/>
    </w:lvl>
    <w:lvl w:ilvl="6" w:tplc="7B4EF910">
      <w:numFmt w:val="decimal"/>
      <w:lvlText w:val=""/>
      <w:lvlJc w:val="left"/>
    </w:lvl>
    <w:lvl w:ilvl="7" w:tplc="6E38C020">
      <w:numFmt w:val="decimal"/>
      <w:lvlText w:val=""/>
      <w:lvlJc w:val="left"/>
    </w:lvl>
    <w:lvl w:ilvl="8" w:tplc="3CC24248">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60CE"/>
    <w:rsid w:val="00187F43"/>
    <w:rsid w:val="003351B4"/>
    <w:rsid w:val="004678BC"/>
    <w:rsid w:val="00560086"/>
    <w:rsid w:val="005F5F16"/>
    <w:rsid w:val="007460CE"/>
    <w:rsid w:val="00775352"/>
    <w:rsid w:val="007E4590"/>
    <w:rsid w:val="00A6668D"/>
    <w:rsid w:val="00D17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14A4D"/>
  <w15:docId w15:val="{C405BE64-F1DA-4F78-BEF0-B0530587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8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8BC"/>
    <w:rPr>
      <w:rFonts w:ascii="Segoe UI" w:hAnsi="Segoe UI" w:cs="Segoe UI"/>
      <w:sz w:val="18"/>
      <w:szCs w:val="18"/>
    </w:rPr>
  </w:style>
  <w:style w:type="paragraph" w:styleId="ListParagraph">
    <w:name w:val="List Paragraph"/>
    <w:basedOn w:val="Normal"/>
    <w:uiPriority w:val="34"/>
    <w:qFormat/>
    <w:rsid w:val="004678BC"/>
    <w:pPr>
      <w:ind w:left="720"/>
      <w:contextualSpacing/>
    </w:pPr>
  </w:style>
  <w:style w:type="character" w:styleId="Hyperlink">
    <w:name w:val="Hyperlink"/>
    <w:basedOn w:val="DefaultParagraphFont"/>
    <w:uiPriority w:val="99"/>
    <w:unhideWhenUsed/>
    <w:rsid w:val="004678BC"/>
    <w:rPr>
      <w:color w:val="0563C1" w:themeColor="hyperlink"/>
      <w:u w:val="single"/>
    </w:rPr>
  </w:style>
  <w:style w:type="character" w:styleId="UnresolvedMention">
    <w:name w:val="Unresolved Mention"/>
    <w:basedOn w:val="DefaultParagraphFont"/>
    <w:uiPriority w:val="99"/>
    <w:semiHidden/>
    <w:unhideWhenUsed/>
    <w:rsid w:val="004678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66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cari.or.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MORLIDGE, Clare (EAST AND NORTH HERTFORDSHIRE NHS TRUST)</cp:lastModifiedBy>
  <cp:revision>2</cp:revision>
  <dcterms:created xsi:type="dcterms:W3CDTF">2020-10-16T17:11:00Z</dcterms:created>
  <dcterms:modified xsi:type="dcterms:W3CDTF">2020-10-16T17:11:00Z</dcterms:modified>
</cp:coreProperties>
</file>